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5743F" w14:textId="2396ECD6" w:rsidR="00056E52" w:rsidRPr="00CE0424" w:rsidRDefault="00056E52" w:rsidP="00056E52">
      <w:pPr>
        <w:pStyle w:val="3GPPHeader"/>
        <w:spacing w:after="60"/>
        <w:rPr>
          <w:sz w:val="32"/>
          <w:szCs w:val="32"/>
          <w:highlight w:val="yellow"/>
        </w:rPr>
      </w:pPr>
      <w:r w:rsidRPr="00056E52">
        <w:rPr>
          <w:sz w:val="22"/>
          <w:szCs w:val="28"/>
        </w:rPr>
        <w:t>3</w:t>
      </w:r>
      <w:bookmarkStart w:id="0" w:name="_Ref118724539"/>
      <w:bookmarkEnd w:id="0"/>
      <w:r w:rsidRPr="00056E52">
        <w:rPr>
          <w:sz w:val="22"/>
          <w:szCs w:val="28"/>
        </w:rPr>
        <w:t>GPP TSG-RAN WG2 Meeting #12</w:t>
      </w:r>
      <w:r w:rsidR="00CD6E4B">
        <w:rPr>
          <w:sz w:val="22"/>
          <w:szCs w:val="28"/>
        </w:rPr>
        <w:t>3</w:t>
      </w:r>
      <w:r w:rsidRPr="00CE0424">
        <w:tab/>
      </w:r>
      <w:r w:rsidRPr="004C2E20">
        <w:rPr>
          <w:sz w:val="32"/>
          <w:szCs w:val="32"/>
        </w:rPr>
        <w:t>R</w:t>
      </w:r>
      <w:r>
        <w:rPr>
          <w:sz w:val="32"/>
          <w:szCs w:val="32"/>
        </w:rPr>
        <w:t>2</w:t>
      </w:r>
      <w:r w:rsidRPr="004C2E20">
        <w:rPr>
          <w:sz w:val="32"/>
          <w:szCs w:val="32"/>
        </w:rPr>
        <w:t>-</w:t>
      </w:r>
      <w:r w:rsidRPr="00D53DBC">
        <w:rPr>
          <w:sz w:val="32"/>
          <w:szCs w:val="32"/>
        </w:rPr>
        <w:t>23</w:t>
      </w:r>
      <w:r>
        <w:rPr>
          <w:sz w:val="32"/>
          <w:szCs w:val="32"/>
        </w:rPr>
        <w:t>0</w:t>
      </w:r>
      <w:r w:rsidR="00FC6915">
        <w:rPr>
          <w:sz w:val="32"/>
          <w:szCs w:val="32"/>
        </w:rPr>
        <w:t>8806</w:t>
      </w:r>
    </w:p>
    <w:p w14:paraId="1529849C" w14:textId="376123FA" w:rsidR="00056E52" w:rsidRPr="00056E52" w:rsidRDefault="00CD6E4B" w:rsidP="00056E52">
      <w:pPr>
        <w:pStyle w:val="3GPPHeader"/>
        <w:rPr>
          <w:sz w:val="22"/>
          <w:szCs w:val="28"/>
        </w:rPr>
      </w:pPr>
      <w:r>
        <w:rPr>
          <w:sz w:val="22"/>
          <w:szCs w:val="28"/>
        </w:rPr>
        <w:t>Toulouse France</w:t>
      </w:r>
      <w:r w:rsidR="00056E52" w:rsidRPr="00056E52">
        <w:rPr>
          <w:sz w:val="22"/>
          <w:szCs w:val="28"/>
        </w:rPr>
        <w:t xml:space="preserve">, </w:t>
      </w:r>
      <w:r>
        <w:rPr>
          <w:sz w:val="22"/>
          <w:szCs w:val="28"/>
        </w:rPr>
        <w:t>August</w:t>
      </w:r>
      <w:r w:rsidR="00056E52" w:rsidRPr="00056E52">
        <w:rPr>
          <w:sz w:val="22"/>
          <w:szCs w:val="28"/>
        </w:rPr>
        <w:t xml:space="preserve"> 2</w:t>
      </w:r>
      <w:r>
        <w:rPr>
          <w:sz w:val="22"/>
          <w:szCs w:val="28"/>
        </w:rPr>
        <w:t>1</w:t>
      </w:r>
      <w:r>
        <w:rPr>
          <w:sz w:val="22"/>
          <w:szCs w:val="28"/>
          <w:vertAlign w:val="superscript"/>
        </w:rPr>
        <w:t>st</w:t>
      </w:r>
      <w:r w:rsidR="00056E52" w:rsidRPr="00056E52">
        <w:rPr>
          <w:sz w:val="22"/>
          <w:szCs w:val="28"/>
        </w:rPr>
        <w:t xml:space="preserve"> - 2</w:t>
      </w:r>
      <w:r>
        <w:rPr>
          <w:sz w:val="22"/>
          <w:szCs w:val="28"/>
        </w:rPr>
        <w:t>5</w:t>
      </w:r>
      <w:r w:rsidR="00056E52" w:rsidRPr="00056E52">
        <w:rPr>
          <w:sz w:val="22"/>
          <w:szCs w:val="28"/>
          <w:vertAlign w:val="superscript"/>
        </w:rPr>
        <w:t>th</w:t>
      </w:r>
      <w:r w:rsidR="00056E52" w:rsidRPr="00056E52">
        <w:rPr>
          <w:sz w:val="22"/>
          <w:szCs w:val="28"/>
        </w:rPr>
        <w:t xml:space="preserve"> 2023</w:t>
      </w:r>
    </w:p>
    <w:p w14:paraId="74D1018D" w14:textId="77777777" w:rsidR="00056E52" w:rsidRDefault="00056E52" w:rsidP="00056E52">
      <w:pPr>
        <w:pStyle w:val="3GPPHeader"/>
        <w:rPr>
          <w:sz w:val="22"/>
        </w:rPr>
      </w:pPr>
    </w:p>
    <w:p w14:paraId="09A39356" w14:textId="5BC2E90D" w:rsidR="001933BD" w:rsidRPr="00BD4EB1" w:rsidRDefault="001933BD" w:rsidP="001933BD">
      <w:pPr>
        <w:pStyle w:val="3GPPHeader"/>
        <w:rPr>
          <w:rFonts w:cs="Arial"/>
          <w:sz w:val="22"/>
          <w:szCs w:val="22"/>
        </w:rPr>
      </w:pPr>
      <w:r w:rsidRPr="00BD4EB1">
        <w:rPr>
          <w:rFonts w:cs="Arial"/>
          <w:sz w:val="22"/>
          <w:szCs w:val="22"/>
        </w:rPr>
        <w:t>Agenda Item:</w:t>
      </w:r>
      <w:r w:rsidRPr="00BD4EB1">
        <w:rPr>
          <w:rFonts w:cs="Arial"/>
          <w:sz w:val="22"/>
          <w:szCs w:val="22"/>
        </w:rPr>
        <w:tab/>
      </w:r>
      <w:r w:rsidR="00117990">
        <w:rPr>
          <w:rFonts w:cs="Arial"/>
          <w:sz w:val="22"/>
          <w:szCs w:val="22"/>
        </w:rPr>
        <w:t>7</w:t>
      </w:r>
      <w:r w:rsidR="006B3329" w:rsidRPr="006B3329">
        <w:rPr>
          <w:rFonts w:cs="Arial"/>
          <w:sz w:val="22"/>
          <w:szCs w:val="22"/>
        </w:rPr>
        <w:t>.19.2</w:t>
      </w:r>
    </w:p>
    <w:p w14:paraId="635811DF" w14:textId="77777777" w:rsidR="001933BD" w:rsidRPr="00BD4EB1" w:rsidRDefault="001933BD" w:rsidP="001933BD">
      <w:pPr>
        <w:pStyle w:val="3GPPHeader"/>
        <w:rPr>
          <w:rFonts w:cs="Arial"/>
          <w:sz w:val="22"/>
          <w:szCs w:val="22"/>
        </w:rPr>
      </w:pPr>
      <w:r w:rsidRPr="00BD4EB1">
        <w:rPr>
          <w:rFonts w:cs="Arial"/>
          <w:sz w:val="22"/>
          <w:szCs w:val="22"/>
        </w:rPr>
        <w:t>Source:</w:t>
      </w:r>
      <w:r w:rsidRPr="00BD4EB1">
        <w:rPr>
          <w:rFonts w:cs="Arial"/>
          <w:sz w:val="22"/>
          <w:szCs w:val="22"/>
        </w:rPr>
        <w:tab/>
        <w:t>Ericsson</w:t>
      </w:r>
    </w:p>
    <w:p w14:paraId="44B28ABA" w14:textId="1326FC9A" w:rsidR="001933BD" w:rsidRPr="007663BF" w:rsidRDefault="001933BD" w:rsidP="001933BD">
      <w:pPr>
        <w:pStyle w:val="3GPPHeader"/>
      </w:pPr>
      <w:r w:rsidRPr="2EE9C89E">
        <w:rPr>
          <w:rFonts w:cs="Arial"/>
          <w:sz w:val="22"/>
          <w:szCs w:val="22"/>
        </w:rPr>
        <w:t>Title:</w:t>
      </w:r>
      <w:r>
        <w:tab/>
      </w:r>
      <w:r w:rsidR="001B07E9">
        <w:rPr>
          <w:rFonts w:cs="Arial"/>
          <w:sz w:val="22"/>
          <w:szCs w:val="22"/>
        </w:rPr>
        <w:t>PTW configuration</w:t>
      </w:r>
      <w:r w:rsidR="007663BF">
        <w:rPr>
          <w:rFonts w:cs="Arial"/>
          <w:sz w:val="22"/>
          <w:szCs w:val="22"/>
        </w:rPr>
        <w:t xml:space="preserve"> and fallback mechanism</w:t>
      </w:r>
      <w:r w:rsidR="001B07E9">
        <w:rPr>
          <w:rFonts w:cs="Arial"/>
          <w:sz w:val="22"/>
          <w:szCs w:val="22"/>
        </w:rPr>
        <w:t xml:space="preserve"> for</w:t>
      </w:r>
      <w:r w:rsidR="005F366E" w:rsidRPr="00100439">
        <w:rPr>
          <w:rFonts w:cs="Arial"/>
          <w:sz w:val="22"/>
          <w:szCs w:val="22"/>
        </w:rPr>
        <w:t xml:space="preserve"> RRC_INACTIVE</w:t>
      </w:r>
      <w:r w:rsidR="007663BF">
        <w:rPr>
          <w:rFonts w:cs="Arial"/>
          <w:sz w:val="22"/>
          <w:szCs w:val="22"/>
        </w:rPr>
        <w:t xml:space="preserve"> eDRX</w:t>
      </w:r>
    </w:p>
    <w:p w14:paraId="1080DEEF" w14:textId="77777777" w:rsidR="001933BD" w:rsidRPr="00BD4EB1" w:rsidRDefault="001933BD" w:rsidP="001933BD">
      <w:pPr>
        <w:pStyle w:val="3GPPHeader"/>
        <w:rPr>
          <w:rFonts w:cs="Arial"/>
          <w:sz w:val="22"/>
          <w:szCs w:val="22"/>
        </w:rPr>
      </w:pPr>
      <w:r w:rsidRPr="00BD4EB1">
        <w:rPr>
          <w:rFonts w:cs="Arial"/>
          <w:sz w:val="22"/>
          <w:szCs w:val="22"/>
        </w:rPr>
        <w:t>Document for:</w:t>
      </w:r>
      <w:r w:rsidRPr="00BD4EB1">
        <w:rPr>
          <w:rFonts w:cs="Arial"/>
          <w:sz w:val="22"/>
          <w:szCs w:val="22"/>
        </w:rPr>
        <w:tab/>
        <w:t>Discussion, Decision</w:t>
      </w:r>
    </w:p>
    <w:p w14:paraId="3AF536BD" w14:textId="77777777" w:rsidR="001933BD" w:rsidRDefault="001933BD" w:rsidP="001933BD">
      <w:pPr>
        <w:pStyle w:val="Heading1"/>
        <w:jc w:val="both"/>
        <w:rPr>
          <w:rFonts w:cs="Arial"/>
        </w:rPr>
      </w:pPr>
      <w:r>
        <w:rPr>
          <w:rFonts w:cs="Arial"/>
        </w:rPr>
        <w:t>1</w:t>
      </w:r>
      <w:r>
        <w:rPr>
          <w:rFonts w:cs="Arial"/>
        </w:rPr>
        <w:tab/>
      </w:r>
      <w:r w:rsidRPr="00BD4EB1">
        <w:rPr>
          <w:rFonts w:cs="Arial"/>
        </w:rPr>
        <w:t>Introduction</w:t>
      </w:r>
    </w:p>
    <w:p w14:paraId="6C41C82D" w14:textId="643D9F56" w:rsidR="001933BD" w:rsidRDefault="001933BD" w:rsidP="000D427E">
      <w:pPr>
        <w:pStyle w:val="BodyText"/>
        <w:rPr>
          <w:rFonts w:eastAsia="Yu Mincho"/>
          <w:lang w:val="en-GB"/>
        </w:rPr>
      </w:pPr>
      <w:r w:rsidRPr="00436DB4">
        <w:rPr>
          <w:rFonts w:eastAsia="Yu Mincho"/>
          <w:lang w:val="en-GB"/>
        </w:rPr>
        <w:t xml:space="preserve">RAN2 </w:t>
      </w:r>
      <w:r w:rsidR="00117990">
        <w:rPr>
          <w:rFonts w:eastAsia="Yu Mincho"/>
          <w:lang w:val="en-GB"/>
        </w:rPr>
        <w:t xml:space="preserve">has been discussing </w:t>
      </w:r>
      <w:r w:rsidR="0034033B">
        <w:rPr>
          <w:rFonts w:eastAsia="Yu Mincho"/>
          <w:lang w:val="en-GB"/>
        </w:rPr>
        <w:t>supporting</w:t>
      </w:r>
      <w:r w:rsidRPr="00436DB4">
        <w:rPr>
          <w:rFonts w:eastAsia="Yu Mincho"/>
          <w:lang w:val="en-GB"/>
        </w:rPr>
        <w:t xml:space="preserve"> reduced capability (RedCap) NR devices WI</w:t>
      </w:r>
      <w:r w:rsidR="000D427E">
        <w:rPr>
          <w:rFonts w:eastAsia="Yu Mincho"/>
        </w:rPr>
        <w:t xml:space="preserve"> (</w:t>
      </w:r>
      <w:hyperlink r:id="rId11" w:history="1">
        <w:r w:rsidR="000D427E" w:rsidRPr="000C3FFB">
          <w:rPr>
            <w:rStyle w:val="Hyperlink"/>
            <w:rFonts w:eastAsia="Yu Mincho"/>
          </w:rPr>
          <w:t>RP-223544</w:t>
        </w:r>
      </w:hyperlink>
      <w:r w:rsidRPr="00436DB4">
        <w:rPr>
          <w:rFonts w:eastAsia="Yu Mincho"/>
          <w:lang w:val="en-GB"/>
        </w:rPr>
        <w:t xml:space="preserve">). The WID has the following objective on </w:t>
      </w:r>
      <w:r w:rsidR="000D427E">
        <w:rPr>
          <w:rFonts w:eastAsia="Yu Mincho"/>
        </w:rPr>
        <w:t>enhancement</w:t>
      </w:r>
      <w:r w:rsidRPr="00436DB4">
        <w:rPr>
          <w:rFonts w:eastAsia="Yu Mincho"/>
          <w:lang w:val="en-GB"/>
        </w:rPr>
        <w:t xml:space="preserve"> of extended DRX: </w:t>
      </w:r>
    </w:p>
    <w:tbl>
      <w:tblPr>
        <w:tblStyle w:val="TableGrid1"/>
        <w:tblW w:w="0" w:type="auto"/>
        <w:tblLook w:val="04A0" w:firstRow="1" w:lastRow="0" w:firstColumn="1" w:lastColumn="0" w:noHBand="0" w:noVBand="1"/>
      </w:tblPr>
      <w:tblGrid>
        <w:gridCol w:w="9016"/>
      </w:tblGrid>
      <w:tr w:rsidR="001933BD" w:rsidRPr="004F1702" w14:paraId="06656155" w14:textId="77777777" w:rsidTr="00E25151">
        <w:tc>
          <w:tcPr>
            <w:tcW w:w="9016" w:type="dxa"/>
          </w:tcPr>
          <w:p w14:paraId="71C84D9D" w14:textId="77777777" w:rsidR="000D427E" w:rsidRPr="004F1702" w:rsidRDefault="000D427E" w:rsidP="000D427E">
            <w:pPr>
              <w:numPr>
                <w:ilvl w:val="0"/>
                <w:numId w:val="3"/>
              </w:numPr>
              <w:overflowPunct w:val="0"/>
              <w:autoSpaceDE w:val="0"/>
              <w:autoSpaceDN w:val="0"/>
              <w:adjustRightInd w:val="0"/>
              <w:spacing w:after="180"/>
              <w:ind w:right="-99"/>
              <w:textAlignment w:val="baseline"/>
              <w:rPr>
                <w:rFonts w:ascii="Times New Roman" w:hAnsi="Times New Roman"/>
                <w:lang w:val="en-GB" w:eastAsia="ja-JP"/>
              </w:rPr>
            </w:pPr>
            <w:r w:rsidRPr="004F1702">
              <w:rPr>
                <w:rFonts w:ascii="Times New Roman" w:hAnsi="Times New Roman"/>
                <w:lang w:val="en-GB" w:eastAsia="ja-JP"/>
              </w:rPr>
              <w:t>Enhanced eDRX in RRC_INACTIVE (&gt;10.24s) [RAN2, RAN3, RAN4]</w:t>
            </w:r>
          </w:p>
          <w:p w14:paraId="48E4A39C" w14:textId="071FF1B3" w:rsidR="000D427E" w:rsidRPr="004F1702" w:rsidRDefault="000D427E" w:rsidP="000D427E">
            <w:pPr>
              <w:numPr>
                <w:ilvl w:val="1"/>
                <w:numId w:val="3"/>
              </w:numPr>
              <w:overflowPunct w:val="0"/>
              <w:autoSpaceDE w:val="0"/>
              <w:autoSpaceDN w:val="0"/>
              <w:adjustRightInd w:val="0"/>
              <w:spacing w:after="180"/>
              <w:jc w:val="both"/>
              <w:textAlignment w:val="baseline"/>
              <w:rPr>
                <w:rFonts w:ascii="Times New Roman" w:hAnsi="Times New Roman"/>
                <w:lang w:val="en-GB" w:eastAsia="ja-JP"/>
              </w:rPr>
            </w:pPr>
            <w:r w:rsidRPr="004F1702">
              <w:rPr>
                <w:rFonts w:ascii="Times New Roman" w:hAnsi="Times New Roman" w:hint="eastAsia"/>
                <w:lang w:val="en-GB" w:eastAsia="ja-JP"/>
              </w:rPr>
              <w:t>Note that this objective requires SA2</w:t>
            </w:r>
            <w:r w:rsidRPr="004F1702">
              <w:rPr>
                <w:rFonts w:ascii="Times New Roman" w:hAnsi="Times New Roman"/>
                <w:lang w:val="en-GB" w:eastAsia="ja-JP"/>
              </w:rPr>
              <w:t xml:space="preserve">, </w:t>
            </w:r>
            <w:r w:rsidRPr="004F1702">
              <w:rPr>
                <w:rFonts w:ascii="Times New Roman" w:hAnsi="Times New Roman" w:hint="eastAsia"/>
                <w:lang w:val="en-GB" w:eastAsia="ja-JP"/>
              </w:rPr>
              <w:t>CT1</w:t>
            </w:r>
            <w:r w:rsidRPr="004F1702">
              <w:rPr>
                <w:rFonts w:ascii="Times New Roman" w:hAnsi="Times New Roman"/>
                <w:lang w:val="en-GB" w:eastAsia="ja-JP"/>
              </w:rPr>
              <w:t xml:space="preserve"> and CT4 </w:t>
            </w:r>
            <w:r w:rsidRPr="004F1702">
              <w:rPr>
                <w:rFonts w:ascii="Times New Roman" w:hAnsi="Times New Roman" w:hint="eastAsia"/>
                <w:lang w:val="en-GB" w:eastAsia="ja-JP"/>
              </w:rPr>
              <w:t>involvement</w:t>
            </w:r>
            <w:r w:rsidRPr="004F1702">
              <w:rPr>
                <w:rFonts w:ascii="Times New Roman" w:hAnsi="Times New Roman"/>
                <w:lang w:eastAsia="ja-JP"/>
              </w:rPr>
              <w:t>.</w:t>
            </w:r>
          </w:p>
        </w:tc>
      </w:tr>
    </w:tbl>
    <w:p w14:paraId="77875F68" w14:textId="77777777" w:rsidR="004F1702" w:rsidRDefault="004F1702" w:rsidP="001933BD">
      <w:pPr>
        <w:pStyle w:val="BodyText"/>
        <w:rPr>
          <w:rFonts w:eastAsiaTheme="minorHAnsi"/>
        </w:rPr>
      </w:pPr>
    </w:p>
    <w:p w14:paraId="5AC0F417" w14:textId="190A12D1" w:rsidR="004F1702" w:rsidRPr="00F1185F" w:rsidRDefault="004F1702" w:rsidP="001933BD">
      <w:pPr>
        <w:pStyle w:val="BodyText"/>
        <w:rPr>
          <w:rFonts w:eastAsiaTheme="minorHAnsi"/>
        </w:rPr>
      </w:pPr>
      <w:r>
        <w:rPr>
          <w:rFonts w:eastAsiaTheme="minorHAnsi"/>
        </w:rPr>
        <w:t xml:space="preserve">Discussion on eDRX enhancements </w:t>
      </w:r>
      <w:r w:rsidR="00025CF6">
        <w:rPr>
          <w:rFonts w:eastAsiaTheme="minorHAnsi"/>
        </w:rPr>
        <w:t xml:space="preserve">in RRC_INACTIVE </w:t>
      </w:r>
      <w:r>
        <w:rPr>
          <w:rFonts w:eastAsiaTheme="minorHAnsi"/>
        </w:rPr>
        <w:t>continued in RAN2#12</w:t>
      </w:r>
      <w:r w:rsidR="00CD6E4B">
        <w:rPr>
          <w:rFonts w:eastAsiaTheme="minorHAnsi"/>
        </w:rPr>
        <w:t>2</w:t>
      </w:r>
      <w:r>
        <w:rPr>
          <w:rFonts w:eastAsiaTheme="minorHAnsi"/>
        </w:rPr>
        <w:t xml:space="preserve"> and the following</w:t>
      </w:r>
      <w:r w:rsidR="00CD6E4B">
        <w:rPr>
          <w:rFonts w:eastAsiaTheme="minorHAnsi"/>
        </w:rPr>
        <w:t xml:space="preserve"> agreements</w:t>
      </w:r>
      <w:r>
        <w:rPr>
          <w:rFonts w:eastAsiaTheme="minorHAnsi"/>
        </w:rPr>
        <w:t xml:space="preserve"> were </w:t>
      </w:r>
      <w:r w:rsidR="00025CF6">
        <w:rPr>
          <w:rFonts w:eastAsiaTheme="minorHAnsi"/>
        </w:rPr>
        <w:t>made</w:t>
      </w:r>
      <w:r w:rsidR="00F1185F">
        <w:rPr>
          <w:rFonts w:eastAsiaTheme="minorHAnsi"/>
        </w:rPr>
        <w:t>:</w:t>
      </w:r>
    </w:p>
    <w:tbl>
      <w:tblPr>
        <w:tblStyle w:val="TableGrid"/>
        <w:tblW w:w="0" w:type="auto"/>
        <w:tblLook w:val="04A0" w:firstRow="1" w:lastRow="0" w:firstColumn="1" w:lastColumn="0" w:noHBand="0" w:noVBand="1"/>
      </w:tblPr>
      <w:tblGrid>
        <w:gridCol w:w="9016"/>
      </w:tblGrid>
      <w:tr w:rsidR="001933BD" w:rsidRPr="00016374" w14:paraId="1918683A" w14:textId="77777777" w:rsidTr="004F1702">
        <w:tc>
          <w:tcPr>
            <w:tcW w:w="9016" w:type="dxa"/>
          </w:tcPr>
          <w:p w14:paraId="724F3723" w14:textId="77777777" w:rsidR="00D3243D" w:rsidRPr="00D3243D" w:rsidRDefault="00D3243D" w:rsidP="00D3243D">
            <w:pPr>
              <w:pStyle w:val="ListParagraph"/>
              <w:widowControl w:val="0"/>
              <w:numPr>
                <w:ilvl w:val="0"/>
                <w:numId w:val="20"/>
              </w:numPr>
              <w:jc w:val="both"/>
              <w:rPr>
                <w:rFonts w:ascii="Arial" w:hAnsi="Arial" w:cs="Arial"/>
                <w:sz w:val="20"/>
                <w:szCs w:val="20"/>
                <w:lang w:val="en-US"/>
              </w:rPr>
            </w:pPr>
            <w:r w:rsidRPr="00D3243D">
              <w:rPr>
                <w:rFonts w:ascii="Arial" w:hAnsi="Arial" w:cs="Arial"/>
                <w:sz w:val="20"/>
                <w:szCs w:val="20"/>
                <w:lang w:val="en-US"/>
              </w:rPr>
              <w:t>UE can support Rel-18 INACTIVE eDRX (which comprises eDRX cycles and PTWs), even if it doesn’t support Rel-17 INACTIVE eDRX.</w:t>
            </w:r>
          </w:p>
          <w:p w14:paraId="6403417C" w14:textId="77777777" w:rsidR="00D3243D" w:rsidRPr="00D3243D" w:rsidRDefault="00D3243D" w:rsidP="00D3243D">
            <w:pPr>
              <w:pStyle w:val="ListParagraph"/>
              <w:widowControl w:val="0"/>
              <w:numPr>
                <w:ilvl w:val="0"/>
                <w:numId w:val="20"/>
              </w:numPr>
              <w:jc w:val="both"/>
              <w:rPr>
                <w:rFonts w:ascii="Arial" w:hAnsi="Arial" w:cs="Arial"/>
                <w:sz w:val="20"/>
                <w:szCs w:val="20"/>
                <w:lang w:val="en-US"/>
              </w:rPr>
            </w:pPr>
            <w:r w:rsidRPr="00D3243D">
              <w:rPr>
                <w:rFonts w:ascii="Arial" w:hAnsi="Arial" w:cs="Arial"/>
                <w:sz w:val="20"/>
                <w:szCs w:val="20"/>
                <w:lang w:val="en-US"/>
              </w:rPr>
              <w:t>A cell can allow Rel-18 INACTIVE eDRX (which comprises eDRX cycles and PTWs), even if it doesn’t allow Rel-17 INACTIVE eDRX, but the cell must allow IDLE eDRX.</w:t>
            </w:r>
          </w:p>
          <w:p w14:paraId="6BF410FB" w14:textId="77777777" w:rsidR="00D3243D" w:rsidRPr="00D3243D" w:rsidRDefault="00D3243D" w:rsidP="00D3243D">
            <w:pPr>
              <w:pStyle w:val="ListParagraph"/>
              <w:widowControl w:val="0"/>
              <w:numPr>
                <w:ilvl w:val="0"/>
                <w:numId w:val="20"/>
              </w:numPr>
              <w:jc w:val="both"/>
              <w:rPr>
                <w:rFonts w:ascii="Arial" w:hAnsi="Arial" w:cs="Arial"/>
                <w:sz w:val="20"/>
                <w:szCs w:val="20"/>
                <w:lang w:val="en-US"/>
              </w:rPr>
            </w:pPr>
            <w:r w:rsidRPr="00D3243D">
              <w:rPr>
                <w:rFonts w:ascii="Arial" w:hAnsi="Arial" w:cs="Arial"/>
                <w:sz w:val="20"/>
                <w:szCs w:val="20"/>
                <w:lang w:val="en-US"/>
              </w:rPr>
              <w:t xml:space="preserve">We confirm the working assumption: 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 </w:t>
            </w:r>
          </w:p>
          <w:p w14:paraId="11AC467A" w14:textId="0D0F4578" w:rsidR="00334C1A" w:rsidRPr="00D3243D" w:rsidRDefault="00D3243D" w:rsidP="00D3243D">
            <w:pPr>
              <w:pStyle w:val="ListParagraph"/>
              <w:widowControl w:val="0"/>
              <w:numPr>
                <w:ilvl w:val="0"/>
                <w:numId w:val="20"/>
              </w:numPr>
              <w:jc w:val="both"/>
              <w:rPr>
                <w:rFonts w:ascii="Arial" w:hAnsi="Arial" w:cs="Arial"/>
                <w:sz w:val="20"/>
                <w:szCs w:val="20"/>
                <w:lang w:val="en-US"/>
              </w:rPr>
            </w:pPr>
            <w:r w:rsidRPr="00D3243D">
              <w:rPr>
                <w:rFonts w:ascii="Arial" w:hAnsi="Arial" w:cs="Arial"/>
                <w:sz w:val="20"/>
                <w:szCs w:val="20"/>
                <w:lang w:val="en-US"/>
              </w:rPr>
              <w:t xml:space="preserve">A UE configured with Rel-18 INACTIVE eDRX </w:t>
            </w:r>
            <w:proofErr w:type="gramStart"/>
            <w:r w:rsidRPr="00D3243D">
              <w:rPr>
                <w:rFonts w:ascii="Arial" w:hAnsi="Arial" w:cs="Arial"/>
                <w:sz w:val="20"/>
                <w:szCs w:val="20"/>
                <w:lang w:val="en-US"/>
              </w:rPr>
              <w:t>will</w:t>
            </w:r>
            <w:proofErr w:type="gramEnd"/>
            <w:r w:rsidRPr="00D3243D">
              <w:rPr>
                <w:rFonts w:ascii="Arial" w:hAnsi="Arial" w:cs="Arial"/>
                <w:sz w:val="20"/>
                <w:szCs w:val="20"/>
                <w:lang w:val="en-US"/>
              </w:rPr>
              <w:t xml:space="preserve"> fallback to use INACTIVE RAN DRX if it is either not configured with Rel-17 INACTIVE eDRX or the cell does not allow Rel-18 INACTIVE eDRX and Rel-17 INACTIVE eDRX.</w:t>
            </w:r>
          </w:p>
        </w:tc>
      </w:tr>
    </w:tbl>
    <w:p w14:paraId="58632B7F" w14:textId="53CB1A39" w:rsidR="001933BD" w:rsidRDefault="001933BD" w:rsidP="001933BD">
      <w:pPr>
        <w:pStyle w:val="BodyText"/>
        <w:rPr>
          <w:rFonts w:eastAsiaTheme="minorHAnsi"/>
        </w:rPr>
      </w:pPr>
    </w:p>
    <w:p w14:paraId="344A0DB5" w14:textId="1A51D5BA" w:rsidR="00B72D83" w:rsidRPr="00B72D83" w:rsidRDefault="00056E52" w:rsidP="00EC76A6">
      <w:pPr>
        <w:pStyle w:val="BodyText"/>
        <w:rPr>
          <w:rFonts w:eastAsiaTheme="minorHAnsi"/>
        </w:rPr>
      </w:pPr>
      <w:r w:rsidRPr="00056E52">
        <w:rPr>
          <w:rFonts w:eastAsiaTheme="minorHAnsi"/>
        </w:rPr>
        <w:t xml:space="preserve">In this contribution, we </w:t>
      </w:r>
      <w:r w:rsidR="00D3243D">
        <w:rPr>
          <w:rFonts w:eastAsiaTheme="minorHAnsi"/>
        </w:rPr>
        <w:t xml:space="preserve">continue </w:t>
      </w:r>
      <w:r w:rsidR="00181892">
        <w:rPr>
          <w:rFonts w:eastAsiaTheme="minorHAnsi"/>
        </w:rPr>
        <w:t xml:space="preserve">to discuss </w:t>
      </w:r>
      <w:r w:rsidR="00D3243D">
        <w:rPr>
          <w:rFonts w:eastAsiaTheme="minorHAnsi"/>
        </w:rPr>
        <w:t xml:space="preserve">the </w:t>
      </w:r>
      <w:r>
        <w:rPr>
          <w:rFonts w:eastAsiaTheme="minorHAnsi"/>
        </w:rPr>
        <w:t>enhancements of eDRX functionality</w:t>
      </w:r>
      <w:r w:rsidRPr="00056E52">
        <w:rPr>
          <w:rFonts w:eastAsiaTheme="minorHAnsi"/>
        </w:rPr>
        <w:t xml:space="preserve"> </w:t>
      </w:r>
      <w:r>
        <w:rPr>
          <w:rFonts w:eastAsiaTheme="minorHAnsi"/>
        </w:rPr>
        <w:t>in RRC_INACTIVE.</w:t>
      </w:r>
      <w:r w:rsidR="00D3243D">
        <w:rPr>
          <w:rFonts w:eastAsiaTheme="minorHAnsi"/>
        </w:rPr>
        <w:t xml:space="preserve"> </w:t>
      </w:r>
      <w:r w:rsidR="00B72D83" w:rsidRPr="00B72D83">
        <w:rPr>
          <w:rFonts w:eastAsiaTheme="minorHAnsi"/>
        </w:rPr>
        <w:t xml:space="preserve">The contribution will address the </w:t>
      </w:r>
      <w:r w:rsidR="00EC76A6">
        <w:rPr>
          <w:rFonts w:eastAsiaTheme="minorHAnsi"/>
        </w:rPr>
        <w:t xml:space="preserve">remaining </w:t>
      </w:r>
      <w:r w:rsidR="00B72D83" w:rsidRPr="00B72D83">
        <w:rPr>
          <w:rFonts w:eastAsiaTheme="minorHAnsi"/>
        </w:rPr>
        <w:t>open issues:</w:t>
      </w:r>
    </w:p>
    <w:p w14:paraId="17FC9AEB" w14:textId="157C1570" w:rsidR="00B72D83" w:rsidRPr="00B72D83" w:rsidRDefault="00EC76A6" w:rsidP="00EC76A6">
      <w:pPr>
        <w:pStyle w:val="BodyText"/>
        <w:numPr>
          <w:ilvl w:val="0"/>
          <w:numId w:val="37"/>
        </w:numPr>
        <w:rPr>
          <w:rFonts w:eastAsiaTheme="minorHAnsi"/>
        </w:rPr>
      </w:pPr>
      <w:r>
        <w:rPr>
          <w:rFonts w:eastAsiaTheme="minorHAnsi"/>
        </w:rPr>
        <w:t xml:space="preserve">Whether </w:t>
      </w:r>
      <w:r w:rsidR="00B72D83" w:rsidRPr="00B72D83">
        <w:rPr>
          <w:rFonts w:eastAsiaTheme="minorHAnsi"/>
        </w:rPr>
        <w:t xml:space="preserve">the length of RAN PTW can be </w:t>
      </w:r>
      <w:r w:rsidR="00711ED2">
        <w:rPr>
          <w:rFonts w:eastAsiaTheme="minorHAnsi"/>
        </w:rPr>
        <w:t>configured with a larger value</w:t>
      </w:r>
      <w:r w:rsidR="00B72D83" w:rsidRPr="00B72D83">
        <w:rPr>
          <w:rFonts w:eastAsiaTheme="minorHAnsi"/>
        </w:rPr>
        <w:t xml:space="preserve"> than the length of CN PTW.</w:t>
      </w:r>
    </w:p>
    <w:p w14:paraId="50CFEBC2" w14:textId="6AD1DC5C" w:rsidR="00B72D83" w:rsidRPr="00B72D83" w:rsidRDefault="00EC76A6" w:rsidP="00EC76A6">
      <w:pPr>
        <w:pStyle w:val="BodyText"/>
        <w:numPr>
          <w:ilvl w:val="0"/>
          <w:numId w:val="37"/>
        </w:numPr>
        <w:rPr>
          <w:rFonts w:eastAsiaTheme="minorHAnsi"/>
        </w:rPr>
      </w:pPr>
      <w:r>
        <w:rPr>
          <w:rFonts w:eastAsiaTheme="minorHAnsi"/>
        </w:rPr>
        <w:t>W</w:t>
      </w:r>
      <w:r w:rsidR="00B72D83" w:rsidRPr="00B72D83">
        <w:rPr>
          <w:rFonts w:eastAsiaTheme="minorHAnsi"/>
        </w:rPr>
        <w:t>hat kind of information RAN should provide to the CN, i.e., RAN PTW length</w:t>
      </w:r>
    </w:p>
    <w:p w14:paraId="4FF9A827" w14:textId="0F1943A0" w:rsidR="00EC76A6" w:rsidRDefault="00EC76A6">
      <w:pPr>
        <w:spacing w:after="160" w:line="259" w:lineRule="auto"/>
        <w:rPr>
          <w:rFonts w:ascii="Arial" w:hAnsi="Arial" w:cs="Times New Roman"/>
          <w:sz w:val="20"/>
          <w:szCs w:val="24"/>
          <w:lang w:eastAsia="zh-CN"/>
        </w:rPr>
      </w:pPr>
      <w:r>
        <w:br w:type="page"/>
      </w:r>
    </w:p>
    <w:p w14:paraId="4C341757" w14:textId="0EC1FDB3" w:rsidR="00EB7D8C" w:rsidRDefault="0083173A" w:rsidP="00EB7D8C">
      <w:pPr>
        <w:pStyle w:val="Heading1"/>
        <w:jc w:val="both"/>
        <w:rPr>
          <w:rFonts w:cs="Arial"/>
        </w:rPr>
      </w:pPr>
      <w:r>
        <w:rPr>
          <w:rFonts w:cs="Arial"/>
        </w:rPr>
        <w:lastRenderedPageBreak/>
        <w:t>2</w:t>
      </w:r>
      <w:r w:rsidRPr="00950A01">
        <w:rPr>
          <w:rFonts w:cs="Arial"/>
        </w:rPr>
        <w:tab/>
      </w:r>
      <w:r w:rsidR="009A76BD">
        <w:rPr>
          <w:rFonts w:cs="Arial"/>
        </w:rPr>
        <w:t>PTW configuration</w:t>
      </w:r>
      <w:r w:rsidR="003773F4">
        <w:rPr>
          <w:rFonts w:cs="Arial"/>
        </w:rPr>
        <w:t xml:space="preserve"> for enhanced eDRX</w:t>
      </w:r>
    </w:p>
    <w:p w14:paraId="68FC8813" w14:textId="69DF1F46" w:rsidR="009A76BD" w:rsidRDefault="00FD234D" w:rsidP="009A76BD">
      <w:pPr>
        <w:jc w:val="both"/>
        <w:rPr>
          <w:rFonts w:ascii="Arial" w:hAnsi="Arial" w:cs="Arial"/>
          <w:sz w:val="20"/>
          <w:szCs w:val="20"/>
        </w:rPr>
      </w:pPr>
      <w:r>
        <w:rPr>
          <w:rFonts w:ascii="Arial" w:hAnsi="Arial" w:cs="Arial"/>
          <w:sz w:val="20"/>
          <w:szCs w:val="20"/>
        </w:rPr>
        <w:t>In Rel-17, eDRX cycle</w:t>
      </w:r>
      <w:r w:rsidR="00D52AE8">
        <w:rPr>
          <w:rFonts w:ascii="Arial" w:hAnsi="Arial" w:cs="Arial"/>
          <w:sz w:val="20"/>
          <w:szCs w:val="20"/>
          <w:lang w:val="en-US"/>
        </w:rPr>
        <w:t>s</w:t>
      </w:r>
      <w:r>
        <w:rPr>
          <w:rFonts w:ascii="Arial" w:hAnsi="Arial" w:cs="Arial"/>
          <w:sz w:val="20"/>
          <w:szCs w:val="20"/>
        </w:rPr>
        <w:t xml:space="preserve"> up to 10.24 s for RRC_INACTIVE and up to </w:t>
      </w:r>
      <w:r w:rsidRPr="00983144">
        <w:rPr>
          <w:rFonts w:ascii="Arial" w:hAnsi="Arial" w:cs="Arial"/>
          <w:sz w:val="20"/>
          <w:szCs w:val="20"/>
        </w:rPr>
        <w:t>10485.76</w:t>
      </w:r>
      <w:r>
        <w:rPr>
          <w:rFonts w:ascii="Arial" w:hAnsi="Arial" w:cs="Arial"/>
          <w:sz w:val="20"/>
          <w:szCs w:val="20"/>
        </w:rPr>
        <w:t xml:space="preserve"> </w:t>
      </w:r>
      <w:r w:rsidRPr="00983144">
        <w:rPr>
          <w:rFonts w:ascii="Arial" w:hAnsi="Arial" w:cs="Arial"/>
          <w:sz w:val="20"/>
          <w:szCs w:val="20"/>
        </w:rPr>
        <w:t>s</w:t>
      </w:r>
      <w:r>
        <w:rPr>
          <w:rFonts w:ascii="Arial" w:hAnsi="Arial" w:cs="Arial"/>
          <w:sz w:val="20"/>
          <w:szCs w:val="20"/>
        </w:rPr>
        <w:t xml:space="preserve"> for RRC_IDLE w</w:t>
      </w:r>
      <w:r w:rsidR="00D92406">
        <w:rPr>
          <w:rFonts w:ascii="Arial" w:hAnsi="Arial" w:cs="Arial"/>
          <w:sz w:val="20"/>
          <w:szCs w:val="20"/>
          <w:lang w:val="en-US"/>
        </w:rPr>
        <w:t>er</w:t>
      </w:r>
      <w:r w:rsidR="00D52AE8">
        <w:rPr>
          <w:rFonts w:ascii="Arial" w:hAnsi="Arial" w:cs="Arial"/>
          <w:sz w:val="20"/>
          <w:szCs w:val="20"/>
          <w:lang w:val="en-US"/>
        </w:rPr>
        <w:t>e</w:t>
      </w:r>
      <w:r>
        <w:rPr>
          <w:rFonts w:ascii="Arial" w:hAnsi="Arial" w:cs="Arial"/>
          <w:sz w:val="20"/>
          <w:szCs w:val="20"/>
        </w:rPr>
        <w:t xml:space="preserve"> specified. The </w:t>
      </w:r>
      <w:r w:rsidR="00D52AE8">
        <w:rPr>
          <w:rFonts w:ascii="Arial" w:hAnsi="Arial" w:cs="Arial"/>
          <w:sz w:val="20"/>
          <w:szCs w:val="20"/>
          <w:lang w:val="en-US"/>
        </w:rPr>
        <w:t xml:space="preserve">value range for </w:t>
      </w:r>
      <w:r>
        <w:rPr>
          <w:rFonts w:ascii="Arial" w:hAnsi="Arial" w:cs="Arial"/>
          <w:sz w:val="20"/>
          <w:szCs w:val="20"/>
        </w:rPr>
        <w:t>eDRX cycle</w:t>
      </w:r>
      <w:r w:rsidR="00D52AE8">
        <w:rPr>
          <w:rFonts w:ascii="Arial" w:hAnsi="Arial" w:cs="Arial"/>
          <w:sz w:val="20"/>
          <w:szCs w:val="20"/>
          <w:lang w:val="en-US"/>
        </w:rPr>
        <w:t>s</w:t>
      </w:r>
      <w:r>
        <w:rPr>
          <w:rFonts w:ascii="Arial" w:hAnsi="Arial" w:cs="Arial"/>
          <w:sz w:val="20"/>
          <w:szCs w:val="20"/>
        </w:rPr>
        <w:t xml:space="preserve"> </w:t>
      </w:r>
      <w:r w:rsidR="00D52AE8">
        <w:rPr>
          <w:rFonts w:ascii="Arial" w:hAnsi="Arial" w:cs="Arial"/>
          <w:sz w:val="20"/>
          <w:szCs w:val="20"/>
          <w:lang w:val="en-US"/>
        </w:rPr>
        <w:t>in</w:t>
      </w:r>
      <w:r>
        <w:rPr>
          <w:rFonts w:ascii="Arial" w:hAnsi="Arial" w:cs="Arial"/>
          <w:sz w:val="20"/>
          <w:szCs w:val="20"/>
        </w:rPr>
        <w:t xml:space="preserve"> RRC_INACTIVE is extended in Rel-18 </w:t>
      </w:r>
      <w:r w:rsidR="00D52AE8">
        <w:rPr>
          <w:rFonts w:ascii="Arial" w:hAnsi="Arial" w:cs="Arial"/>
          <w:sz w:val="20"/>
          <w:szCs w:val="20"/>
          <w:lang w:val="en-US"/>
        </w:rPr>
        <w:t xml:space="preserve">so </w:t>
      </w:r>
      <w:r w:rsidR="009C739C">
        <w:rPr>
          <w:rFonts w:ascii="Arial" w:hAnsi="Arial" w:cs="Arial"/>
          <w:sz w:val="20"/>
          <w:szCs w:val="20"/>
        </w:rPr>
        <w:t>that</w:t>
      </w:r>
      <w:r>
        <w:rPr>
          <w:rFonts w:ascii="Arial" w:hAnsi="Arial" w:cs="Arial"/>
          <w:sz w:val="20"/>
          <w:szCs w:val="20"/>
        </w:rPr>
        <w:t xml:space="preserve"> </w:t>
      </w:r>
      <w:r w:rsidR="00107358">
        <w:rPr>
          <w:rFonts w:ascii="Arial" w:hAnsi="Arial" w:cs="Arial"/>
          <w:sz w:val="20"/>
          <w:szCs w:val="20"/>
          <w:lang w:val="en-US"/>
        </w:rPr>
        <w:t xml:space="preserve">it </w:t>
      </w:r>
      <w:r>
        <w:rPr>
          <w:rFonts w:ascii="Arial" w:hAnsi="Arial" w:cs="Arial"/>
          <w:sz w:val="20"/>
          <w:szCs w:val="20"/>
        </w:rPr>
        <w:t>include</w:t>
      </w:r>
      <w:r w:rsidR="00107358">
        <w:rPr>
          <w:rFonts w:ascii="Arial" w:hAnsi="Arial" w:cs="Arial"/>
          <w:sz w:val="20"/>
          <w:szCs w:val="20"/>
          <w:lang w:val="en-US"/>
        </w:rPr>
        <w:t>s</w:t>
      </w:r>
      <w:r>
        <w:rPr>
          <w:rFonts w:ascii="Arial" w:hAnsi="Arial" w:cs="Arial"/>
          <w:sz w:val="20"/>
          <w:szCs w:val="20"/>
        </w:rPr>
        <w:t xml:space="preserve"> cycles greater than 10.24 s and up to 10485.76 s</w:t>
      </w:r>
      <w:r w:rsidR="009C739C">
        <w:rPr>
          <w:rFonts w:ascii="Arial" w:hAnsi="Arial" w:cs="Arial"/>
          <w:sz w:val="20"/>
          <w:szCs w:val="20"/>
        </w:rPr>
        <w:t xml:space="preserve"> allowing</w:t>
      </w:r>
      <w:r>
        <w:rPr>
          <w:rFonts w:ascii="Arial" w:hAnsi="Arial" w:cs="Arial"/>
          <w:sz w:val="20"/>
          <w:szCs w:val="20"/>
        </w:rPr>
        <w:t xml:space="preserve"> </w:t>
      </w:r>
      <w:r w:rsidR="00107358">
        <w:rPr>
          <w:rFonts w:ascii="Arial" w:hAnsi="Arial" w:cs="Arial"/>
          <w:sz w:val="20"/>
          <w:szCs w:val="20"/>
          <w:lang w:val="en-US"/>
        </w:rPr>
        <w:t>RAN</w:t>
      </w:r>
      <w:r>
        <w:rPr>
          <w:rFonts w:ascii="Arial" w:hAnsi="Arial" w:cs="Arial"/>
          <w:sz w:val="20"/>
          <w:szCs w:val="20"/>
        </w:rPr>
        <w:t xml:space="preserve"> to configure longer eDRX cycle</w:t>
      </w:r>
      <w:r w:rsidR="009C739C">
        <w:rPr>
          <w:rFonts w:ascii="Arial" w:hAnsi="Arial" w:cs="Arial"/>
          <w:sz w:val="20"/>
          <w:szCs w:val="20"/>
        </w:rPr>
        <w:t>s</w:t>
      </w:r>
      <w:r w:rsidR="00107358">
        <w:rPr>
          <w:rFonts w:ascii="Arial" w:hAnsi="Arial" w:cs="Arial"/>
          <w:sz w:val="20"/>
          <w:szCs w:val="20"/>
          <w:lang w:val="en-US"/>
        </w:rPr>
        <w:t xml:space="preserve"> in RRC_INACTIVE</w:t>
      </w:r>
      <w:r w:rsidR="00D4491C">
        <w:rPr>
          <w:rFonts w:ascii="Arial" w:hAnsi="Arial" w:cs="Arial"/>
          <w:sz w:val="20"/>
          <w:szCs w:val="20"/>
          <w:lang w:val="en-US"/>
        </w:rPr>
        <w:t xml:space="preserve"> compared to Rel</w:t>
      </w:r>
      <w:r w:rsidR="00240A5F">
        <w:rPr>
          <w:rFonts w:ascii="Arial" w:hAnsi="Arial" w:cs="Arial"/>
          <w:sz w:val="20"/>
          <w:szCs w:val="20"/>
          <w:lang w:val="en-US"/>
        </w:rPr>
        <w:t>-17</w:t>
      </w:r>
      <w:r>
        <w:rPr>
          <w:rFonts w:ascii="Arial" w:hAnsi="Arial" w:cs="Arial"/>
          <w:sz w:val="20"/>
          <w:szCs w:val="20"/>
        </w:rPr>
        <w:t xml:space="preserve">. </w:t>
      </w:r>
      <w:r w:rsidR="009A76BD">
        <w:rPr>
          <w:rFonts w:ascii="Arial" w:hAnsi="Arial" w:cs="Arial"/>
          <w:sz w:val="20"/>
          <w:szCs w:val="20"/>
        </w:rPr>
        <w:t xml:space="preserve">When a UE is configured with </w:t>
      </w:r>
      <w:r w:rsidR="00240A5F">
        <w:rPr>
          <w:rFonts w:ascii="Arial" w:hAnsi="Arial" w:cs="Arial"/>
          <w:sz w:val="20"/>
          <w:szCs w:val="20"/>
          <w:lang w:val="en-US"/>
        </w:rPr>
        <w:t xml:space="preserve">an </w:t>
      </w:r>
      <w:r w:rsidR="009A76BD">
        <w:rPr>
          <w:rFonts w:ascii="Arial" w:hAnsi="Arial" w:cs="Arial"/>
          <w:sz w:val="20"/>
          <w:szCs w:val="20"/>
        </w:rPr>
        <w:t>eDRX cycle longer than 10.24 s in RRC_IDLE or RRC_INACTIVE mode, it monitors the paging within a paging time window (PTW). A UE in RRC_IDLE monitors for CN paging in CN PTW, while the UE in RRC_INACTIVE monitors for CN paging in CN PTW and RAN paging in the RAN PTW. The length of PTW ranges</w:t>
      </w:r>
      <w:r w:rsidR="009A76BD" w:rsidRPr="009A76BD">
        <w:rPr>
          <w:rFonts w:ascii="Arial" w:hAnsi="Arial" w:cs="Arial"/>
          <w:sz w:val="20"/>
          <w:szCs w:val="20"/>
        </w:rPr>
        <w:t xml:space="preserve"> from 1.28</w:t>
      </w:r>
      <w:r w:rsidR="009A76BD">
        <w:rPr>
          <w:rFonts w:ascii="Arial" w:hAnsi="Arial" w:cs="Arial"/>
          <w:sz w:val="20"/>
          <w:szCs w:val="20"/>
        </w:rPr>
        <w:t xml:space="preserve"> </w:t>
      </w:r>
      <w:r w:rsidR="009A76BD" w:rsidRPr="009A76BD">
        <w:rPr>
          <w:rFonts w:ascii="Arial" w:hAnsi="Arial" w:cs="Arial"/>
          <w:sz w:val="20"/>
          <w:szCs w:val="20"/>
        </w:rPr>
        <w:t>s to 40.96</w:t>
      </w:r>
      <w:r w:rsidR="009A76BD">
        <w:rPr>
          <w:rFonts w:ascii="Arial" w:hAnsi="Arial" w:cs="Arial"/>
          <w:sz w:val="20"/>
          <w:szCs w:val="20"/>
        </w:rPr>
        <w:t xml:space="preserve"> </w:t>
      </w:r>
      <w:r w:rsidR="009A76BD" w:rsidRPr="009A76BD">
        <w:rPr>
          <w:rFonts w:ascii="Arial" w:hAnsi="Arial" w:cs="Arial"/>
          <w:sz w:val="20"/>
          <w:szCs w:val="20"/>
        </w:rPr>
        <w:t>s in step</w:t>
      </w:r>
      <w:r w:rsidR="00595AE7">
        <w:rPr>
          <w:rFonts w:ascii="Arial" w:hAnsi="Arial" w:cs="Arial"/>
          <w:sz w:val="20"/>
          <w:szCs w:val="20"/>
          <w:lang w:val="en-US"/>
        </w:rPr>
        <w:t>s</w:t>
      </w:r>
      <w:r w:rsidR="009A76BD" w:rsidRPr="009A76BD">
        <w:rPr>
          <w:rFonts w:ascii="Arial" w:hAnsi="Arial" w:cs="Arial"/>
          <w:sz w:val="20"/>
          <w:szCs w:val="20"/>
        </w:rPr>
        <w:t xml:space="preserve"> of 1.28</w:t>
      </w:r>
      <w:r w:rsidR="009A76BD">
        <w:rPr>
          <w:rFonts w:ascii="Arial" w:hAnsi="Arial" w:cs="Arial"/>
          <w:sz w:val="20"/>
          <w:szCs w:val="20"/>
        </w:rPr>
        <w:t xml:space="preserve"> </w:t>
      </w:r>
      <w:r w:rsidR="009A76BD" w:rsidRPr="009A76BD">
        <w:rPr>
          <w:rFonts w:ascii="Arial" w:hAnsi="Arial" w:cs="Arial"/>
          <w:sz w:val="20"/>
          <w:szCs w:val="20"/>
        </w:rPr>
        <w:t>s</w:t>
      </w:r>
      <w:r w:rsidR="009A76BD">
        <w:rPr>
          <w:rFonts w:ascii="Arial" w:hAnsi="Arial" w:cs="Arial"/>
          <w:sz w:val="20"/>
          <w:szCs w:val="20"/>
        </w:rPr>
        <w:t xml:space="preserve"> for both </w:t>
      </w:r>
      <w:r w:rsidR="009A76BD" w:rsidRPr="009A76BD">
        <w:rPr>
          <w:rFonts w:ascii="Arial" w:hAnsi="Arial" w:cs="Arial"/>
          <w:sz w:val="20"/>
          <w:szCs w:val="20"/>
        </w:rPr>
        <w:t xml:space="preserve">IDLE eDRX </w:t>
      </w:r>
      <w:r w:rsidR="009A76BD">
        <w:rPr>
          <w:rFonts w:ascii="Arial" w:hAnsi="Arial" w:cs="Arial"/>
          <w:sz w:val="20"/>
          <w:szCs w:val="20"/>
        </w:rPr>
        <w:t xml:space="preserve">and </w:t>
      </w:r>
      <w:r w:rsidR="009A76BD" w:rsidRPr="009A76BD">
        <w:rPr>
          <w:rFonts w:ascii="Arial" w:hAnsi="Arial" w:cs="Arial"/>
          <w:sz w:val="20"/>
          <w:szCs w:val="20"/>
        </w:rPr>
        <w:t>INACTIVE eDRX.</w:t>
      </w:r>
    </w:p>
    <w:p w14:paraId="1930F5C6" w14:textId="77777777" w:rsidR="00B00EF5" w:rsidRDefault="00B00EF5" w:rsidP="009A76BD">
      <w:pPr>
        <w:jc w:val="both"/>
        <w:rPr>
          <w:rFonts w:ascii="Arial" w:hAnsi="Arial" w:cs="Arial"/>
          <w:sz w:val="20"/>
          <w:szCs w:val="20"/>
        </w:rPr>
      </w:pPr>
    </w:p>
    <w:p w14:paraId="505A849B" w14:textId="2A48247A" w:rsidR="009C1BC9" w:rsidRDefault="009C1BC9" w:rsidP="009C1BC9">
      <w:pPr>
        <w:jc w:val="center"/>
        <w:rPr>
          <w:rFonts w:ascii="Arial" w:hAnsi="Arial" w:cs="Arial"/>
          <w:sz w:val="20"/>
          <w:szCs w:val="20"/>
        </w:rPr>
      </w:pPr>
      <w:r>
        <w:rPr>
          <w:rFonts w:ascii="Arial" w:hAnsi="Arial" w:cs="Arial"/>
          <w:noProof/>
          <w:sz w:val="20"/>
          <w:szCs w:val="20"/>
        </w:rPr>
        <w:drawing>
          <wp:inline distT="0" distB="0" distL="0" distR="0" wp14:anchorId="7AF39668" wp14:editId="48211C7C">
            <wp:extent cx="3832528" cy="283000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53824" cy="2845726"/>
                    </a:xfrm>
                    <a:prstGeom prst="rect">
                      <a:avLst/>
                    </a:prstGeom>
                    <a:noFill/>
                  </pic:spPr>
                </pic:pic>
              </a:graphicData>
            </a:graphic>
          </wp:inline>
        </w:drawing>
      </w:r>
    </w:p>
    <w:p w14:paraId="2CAC31E4" w14:textId="46435A00" w:rsidR="009C1BC9" w:rsidRPr="009C1BC9" w:rsidRDefault="009C1BC9" w:rsidP="009C1BC9">
      <w:pPr>
        <w:pStyle w:val="Caption"/>
        <w:jc w:val="center"/>
        <w:rPr>
          <w:rFonts w:ascii="Arial" w:hAnsi="Arial" w:cs="Arial"/>
          <w:sz w:val="22"/>
          <w:szCs w:val="22"/>
        </w:rPr>
      </w:pPr>
      <w:r w:rsidRPr="009C1BC9">
        <w:rPr>
          <w:rFonts w:ascii="Arial" w:hAnsi="Arial" w:cs="Arial"/>
          <w:sz w:val="20"/>
          <w:szCs w:val="20"/>
        </w:rPr>
        <w:t xml:space="preserve">Figure </w:t>
      </w:r>
      <w:r w:rsidRPr="009C1BC9">
        <w:rPr>
          <w:rFonts w:ascii="Arial" w:hAnsi="Arial" w:cs="Arial"/>
          <w:sz w:val="20"/>
          <w:szCs w:val="20"/>
        </w:rPr>
        <w:fldChar w:fldCharType="begin"/>
      </w:r>
      <w:r w:rsidRPr="009C1BC9">
        <w:rPr>
          <w:rFonts w:ascii="Arial" w:hAnsi="Arial" w:cs="Arial"/>
          <w:sz w:val="20"/>
          <w:szCs w:val="20"/>
        </w:rPr>
        <w:instrText xml:space="preserve"> SEQ Figure \* ARABIC </w:instrText>
      </w:r>
      <w:r w:rsidRPr="009C1BC9">
        <w:rPr>
          <w:rFonts w:ascii="Arial" w:hAnsi="Arial" w:cs="Arial"/>
          <w:sz w:val="20"/>
          <w:szCs w:val="20"/>
        </w:rPr>
        <w:fldChar w:fldCharType="separate"/>
      </w:r>
      <w:r w:rsidRPr="009C1BC9">
        <w:rPr>
          <w:rFonts w:ascii="Arial" w:hAnsi="Arial" w:cs="Arial"/>
          <w:noProof/>
          <w:sz w:val="20"/>
          <w:szCs w:val="20"/>
        </w:rPr>
        <w:t>1</w:t>
      </w:r>
      <w:r w:rsidRPr="009C1BC9">
        <w:rPr>
          <w:rFonts w:ascii="Arial" w:hAnsi="Arial" w:cs="Arial"/>
          <w:sz w:val="20"/>
          <w:szCs w:val="20"/>
        </w:rPr>
        <w:fldChar w:fldCharType="end"/>
      </w:r>
      <w:r w:rsidRPr="009C1BC9">
        <w:rPr>
          <w:rFonts w:ascii="Arial" w:hAnsi="Arial" w:cs="Arial"/>
          <w:sz w:val="20"/>
          <w:szCs w:val="20"/>
        </w:rPr>
        <w:t>: Illustration of PTW configuration for INACTVE and IDLE eDRX</w:t>
      </w:r>
    </w:p>
    <w:p w14:paraId="7F2516D3" w14:textId="77777777" w:rsidR="00B00EF5" w:rsidRDefault="00B00EF5" w:rsidP="00861D3E">
      <w:pPr>
        <w:jc w:val="both"/>
        <w:rPr>
          <w:rFonts w:ascii="Arial" w:hAnsi="Arial" w:cs="Arial"/>
          <w:sz w:val="20"/>
          <w:szCs w:val="20"/>
        </w:rPr>
      </w:pPr>
    </w:p>
    <w:p w14:paraId="2DD3D3BA" w14:textId="06517C95" w:rsidR="002F3E3F" w:rsidRDefault="00FD234D" w:rsidP="00861D3E">
      <w:pPr>
        <w:jc w:val="both"/>
        <w:rPr>
          <w:rFonts w:ascii="Arial" w:hAnsi="Arial" w:cs="Arial"/>
          <w:sz w:val="20"/>
          <w:szCs w:val="20"/>
        </w:rPr>
      </w:pPr>
      <w:r>
        <w:rPr>
          <w:rFonts w:ascii="Arial" w:hAnsi="Arial" w:cs="Arial"/>
          <w:sz w:val="20"/>
          <w:szCs w:val="20"/>
        </w:rPr>
        <w:t xml:space="preserve">For a Rel-18 UE, </w:t>
      </w:r>
      <w:r w:rsidR="000D4A34">
        <w:rPr>
          <w:rFonts w:ascii="Arial" w:hAnsi="Arial" w:cs="Arial"/>
          <w:sz w:val="20"/>
          <w:szCs w:val="20"/>
        </w:rPr>
        <w:t xml:space="preserve">there are two </w:t>
      </w:r>
      <w:r w:rsidR="005F381A">
        <w:rPr>
          <w:rFonts w:ascii="Arial" w:hAnsi="Arial" w:cs="Arial"/>
          <w:sz w:val="20"/>
          <w:szCs w:val="20"/>
          <w:lang w:val="en-US"/>
        </w:rPr>
        <w:t xml:space="preserve">possible scenarios </w:t>
      </w:r>
      <w:r w:rsidR="000B6340">
        <w:rPr>
          <w:rFonts w:ascii="Arial" w:hAnsi="Arial" w:cs="Arial"/>
          <w:sz w:val="20"/>
          <w:szCs w:val="20"/>
          <w:lang w:val="en-US"/>
        </w:rPr>
        <w:t xml:space="preserve">regarding </w:t>
      </w:r>
      <w:r w:rsidR="00A3769A">
        <w:rPr>
          <w:rFonts w:ascii="Arial" w:hAnsi="Arial" w:cs="Arial"/>
          <w:sz w:val="20"/>
          <w:szCs w:val="20"/>
          <w:lang w:val="en-US"/>
        </w:rPr>
        <w:t xml:space="preserve">the length of </w:t>
      </w:r>
      <w:r w:rsidR="000D4A34">
        <w:rPr>
          <w:rFonts w:ascii="Arial" w:hAnsi="Arial" w:cs="Arial"/>
          <w:sz w:val="20"/>
          <w:szCs w:val="20"/>
        </w:rPr>
        <w:t xml:space="preserve">RAN PTW as shown in Fig. 1. In one case RAN PTW can be </w:t>
      </w:r>
      <w:r w:rsidR="00B12EA4">
        <w:rPr>
          <w:rFonts w:ascii="Arial" w:hAnsi="Arial" w:cs="Arial"/>
          <w:sz w:val="20"/>
          <w:szCs w:val="20"/>
          <w:lang w:val="en-US"/>
        </w:rPr>
        <w:t>configured with a value smaller than or equal</w:t>
      </w:r>
      <w:r w:rsidR="000D4A34">
        <w:rPr>
          <w:rFonts w:ascii="Arial" w:hAnsi="Arial" w:cs="Arial"/>
          <w:sz w:val="20"/>
          <w:szCs w:val="20"/>
        </w:rPr>
        <w:t xml:space="preserve"> to the length of CN PTW and in the other case RAN PTW can be </w:t>
      </w:r>
      <w:r w:rsidR="00E575C1">
        <w:rPr>
          <w:rFonts w:ascii="Arial" w:hAnsi="Arial" w:cs="Arial"/>
          <w:sz w:val="20"/>
          <w:szCs w:val="20"/>
          <w:lang w:val="en-US"/>
        </w:rPr>
        <w:t>configured with a value larger</w:t>
      </w:r>
      <w:r w:rsidR="000D4A34">
        <w:rPr>
          <w:rFonts w:ascii="Arial" w:hAnsi="Arial" w:cs="Arial"/>
          <w:sz w:val="20"/>
          <w:szCs w:val="20"/>
        </w:rPr>
        <w:t xml:space="preserve"> than </w:t>
      </w:r>
      <w:r w:rsidR="002E644E">
        <w:rPr>
          <w:rFonts w:ascii="Arial" w:hAnsi="Arial" w:cs="Arial"/>
          <w:sz w:val="20"/>
          <w:szCs w:val="20"/>
          <w:lang w:val="en-US"/>
        </w:rPr>
        <w:t xml:space="preserve">the length of </w:t>
      </w:r>
      <w:r w:rsidR="000D4A34">
        <w:rPr>
          <w:rFonts w:ascii="Arial" w:hAnsi="Arial" w:cs="Arial"/>
          <w:sz w:val="20"/>
          <w:szCs w:val="20"/>
        </w:rPr>
        <w:t xml:space="preserve">CN PTW. The length of PTW is important from the perspective of </w:t>
      </w:r>
      <w:r w:rsidR="00D92030">
        <w:rPr>
          <w:rFonts w:ascii="Arial" w:hAnsi="Arial" w:cs="Arial"/>
          <w:sz w:val="20"/>
          <w:szCs w:val="20"/>
          <w:lang w:val="en-US"/>
        </w:rPr>
        <w:t xml:space="preserve">missing </w:t>
      </w:r>
      <w:r w:rsidR="00AE14F1">
        <w:rPr>
          <w:rFonts w:ascii="Arial" w:hAnsi="Arial" w:cs="Arial"/>
          <w:sz w:val="20"/>
          <w:szCs w:val="20"/>
        </w:rPr>
        <w:t xml:space="preserve">paging occasion and </w:t>
      </w:r>
      <w:r w:rsidR="000D4A34">
        <w:rPr>
          <w:rFonts w:ascii="Arial" w:hAnsi="Arial" w:cs="Arial"/>
          <w:sz w:val="20"/>
          <w:szCs w:val="20"/>
        </w:rPr>
        <w:t xml:space="preserve">synchronization </w:t>
      </w:r>
      <w:r w:rsidR="00D92030">
        <w:rPr>
          <w:rFonts w:ascii="Arial" w:hAnsi="Arial" w:cs="Arial"/>
          <w:sz w:val="20"/>
          <w:szCs w:val="20"/>
          <w:lang w:val="en-US"/>
        </w:rPr>
        <w:t>between network nodes</w:t>
      </w:r>
      <w:r w:rsidR="000D4A34">
        <w:rPr>
          <w:rFonts w:ascii="Arial" w:hAnsi="Arial" w:cs="Arial"/>
          <w:sz w:val="20"/>
          <w:szCs w:val="20"/>
        </w:rPr>
        <w:t xml:space="preserve">. </w:t>
      </w:r>
      <w:r w:rsidR="00130F6B">
        <w:rPr>
          <w:rFonts w:ascii="Arial" w:hAnsi="Arial" w:cs="Arial"/>
          <w:sz w:val="20"/>
          <w:szCs w:val="20"/>
          <w:lang w:val="en-US"/>
        </w:rPr>
        <w:t xml:space="preserve">Currently </w:t>
      </w:r>
      <w:r w:rsidR="009B0752">
        <w:rPr>
          <w:rFonts w:ascii="Arial" w:hAnsi="Arial" w:cs="Arial"/>
          <w:sz w:val="20"/>
          <w:szCs w:val="20"/>
          <w:lang w:val="en-US"/>
        </w:rPr>
        <w:t>the</w:t>
      </w:r>
      <w:r w:rsidR="002F3E3F">
        <w:rPr>
          <w:rFonts w:ascii="Arial" w:hAnsi="Arial" w:cs="Arial"/>
          <w:sz w:val="20"/>
          <w:szCs w:val="20"/>
        </w:rPr>
        <w:t xml:space="preserve"> </w:t>
      </w:r>
      <w:r w:rsidR="006F2308">
        <w:rPr>
          <w:rFonts w:ascii="Arial" w:hAnsi="Arial" w:cs="Arial"/>
          <w:sz w:val="20"/>
          <w:szCs w:val="20"/>
          <w:lang w:val="en-US"/>
        </w:rPr>
        <w:t>value range</w:t>
      </w:r>
      <w:r w:rsidR="002F3E3F">
        <w:rPr>
          <w:rFonts w:ascii="Arial" w:hAnsi="Arial" w:cs="Arial"/>
          <w:sz w:val="20"/>
          <w:szCs w:val="20"/>
        </w:rPr>
        <w:t xml:space="preserve"> of PTW allows RAN and CN to configure </w:t>
      </w:r>
      <w:r w:rsidR="00D60FE8">
        <w:rPr>
          <w:rFonts w:ascii="Arial" w:hAnsi="Arial" w:cs="Arial"/>
          <w:sz w:val="20"/>
          <w:szCs w:val="20"/>
          <w:lang w:val="en-US"/>
        </w:rPr>
        <w:t>values</w:t>
      </w:r>
      <w:r w:rsidR="002F3E3F">
        <w:rPr>
          <w:rFonts w:ascii="Arial" w:hAnsi="Arial" w:cs="Arial"/>
          <w:sz w:val="20"/>
          <w:szCs w:val="20"/>
        </w:rPr>
        <w:t xml:space="preserve"> up to 40.96 s</w:t>
      </w:r>
      <w:r w:rsidR="000D4A34">
        <w:rPr>
          <w:rFonts w:ascii="Arial" w:hAnsi="Arial" w:cs="Arial"/>
          <w:sz w:val="20"/>
          <w:szCs w:val="20"/>
        </w:rPr>
        <w:t xml:space="preserve"> </w:t>
      </w:r>
      <w:r w:rsidR="00861D3E">
        <w:rPr>
          <w:rFonts w:ascii="Arial" w:hAnsi="Arial" w:cs="Arial"/>
          <w:sz w:val="20"/>
          <w:szCs w:val="20"/>
        </w:rPr>
        <w:t xml:space="preserve">and </w:t>
      </w:r>
      <w:r w:rsidR="002F3E3F">
        <w:rPr>
          <w:rFonts w:ascii="Arial" w:hAnsi="Arial" w:cs="Arial"/>
          <w:sz w:val="20"/>
          <w:szCs w:val="20"/>
        </w:rPr>
        <w:t xml:space="preserve">the question </w:t>
      </w:r>
      <w:r w:rsidR="00861D3E">
        <w:rPr>
          <w:rFonts w:ascii="Arial" w:hAnsi="Arial" w:cs="Arial"/>
          <w:sz w:val="20"/>
          <w:szCs w:val="20"/>
        </w:rPr>
        <w:t xml:space="preserve">here </w:t>
      </w:r>
      <w:r w:rsidR="002F3E3F">
        <w:rPr>
          <w:rFonts w:ascii="Arial" w:hAnsi="Arial" w:cs="Arial"/>
          <w:sz w:val="20"/>
          <w:szCs w:val="20"/>
        </w:rPr>
        <w:t xml:space="preserve">is whether RAN PTW </w:t>
      </w:r>
      <w:r w:rsidR="000366C9">
        <w:rPr>
          <w:rFonts w:ascii="Arial" w:hAnsi="Arial" w:cs="Arial"/>
          <w:sz w:val="20"/>
          <w:szCs w:val="20"/>
        </w:rPr>
        <w:t xml:space="preserve">length </w:t>
      </w:r>
      <w:r w:rsidR="002F3E3F">
        <w:rPr>
          <w:rFonts w:ascii="Arial" w:hAnsi="Arial" w:cs="Arial"/>
          <w:sz w:val="20"/>
          <w:szCs w:val="20"/>
        </w:rPr>
        <w:t xml:space="preserve">should be allowed to be </w:t>
      </w:r>
      <w:r w:rsidR="000366C9">
        <w:rPr>
          <w:rFonts w:ascii="Arial" w:hAnsi="Arial" w:cs="Arial"/>
          <w:sz w:val="20"/>
          <w:szCs w:val="20"/>
        </w:rPr>
        <w:t xml:space="preserve">larger </w:t>
      </w:r>
      <w:r w:rsidR="002F3E3F">
        <w:rPr>
          <w:rFonts w:ascii="Arial" w:hAnsi="Arial" w:cs="Arial"/>
          <w:sz w:val="20"/>
          <w:szCs w:val="20"/>
        </w:rPr>
        <w:t>than the CN PTW</w:t>
      </w:r>
      <w:r w:rsidR="000366C9">
        <w:rPr>
          <w:rFonts w:ascii="Arial" w:hAnsi="Arial" w:cs="Arial"/>
          <w:sz w:val="20"/>
          <w:szCs w:val="20"/>
        </w:rPr>
        <w:t xml:space="preserve"> length</w:t>
      </w:r>
      <w:r w:rsidR="002F3E3F">
        <w:rPr>
          <w:rFonts w:ascii="Arial" w:hAnsi="Arial" w:cs="Arial"/>
          <w:sz w:val="20"/>
          <w:szCs w:val="20"/>
        </w:rPr>
        <w:t xml:space="preserve">. </w:t>
      </w:r>
      <w:r w:rsidR="0080150F">
        <w:rPr>
          <w:rFonts w:ascii="Arial" w:hAnsi="Arial" w:cs="Arial"/>
          <w:sz w:val="20"/>
          <w:szCs w:val="20"/>
          <w:lang w:val="en-US"/>
        </w:rPr>
        <w:t xml:space="preserve">Even though we expect that </w:t>
      </w:r>
      <w:r w:rsidR="003001EA">
        <w:rPr>
          <w:rFonts w:ascii="Arial" w:hAnsi="Arial" w:cs="Arial"/>
          <w:sz w:val="20"/>
          <w:szCs w:val="20"/>
          <w:lang w:val="en-US"/>
        </w:rPr>
        <w:t xml:space="preserve">typically RAN PTW length is configured with a value smaller </w:t>
      </w:r>
      <w:r w:rsidR="00452155">
        <w:rPr>
          <w:rFonts w:ascii="Arial" w:hAnsi="Arial" w:cs="Arial"/>
          <w:sz w:val="20"/>
          <w:szCs w:val="20"/>
          <w:lang w:val="en-US"/>
        </w:rPr>
        <w:t>than or equal to the value of C</w:t>
      </w:r>
      <w:r w:rsidR="009F3477">
        <w:rPr>
          <w:rFonts w:ascii="Arial" w:hAnsi="Arial" w:cs="Arial"/>
          <w:sz w:val="20"/>
          <w:szCs w:val="20"/>
          <w:lang w:val="en-US"/>
        </w:rPr>
        <w:t>N</w:t>
      </w:r>
      <w:r w:rsidR="00452155">
        <w:rPr>
          <w:rFonts w:ascii="Arial" w:hAnsi="Arial" w:cs="Arial"/>
          <w:sz w:val="20"/>
          <w:szCs w:val="20"/>
          <w:lang w:val="en-US"/>
        </w:rPr>
        <w:t xml:space="preserve"> PTW</w:t>
      </w:r>
      <w:r w:rsidR="009F3477">
        <w:rPr>
          <w:rFonts w:ascii="Arial" w:hAnsi="Arial" w:cs="Arial"/>
          <w:sz w:val="20"/>
          <w:szCs w:val="20"/>
          <w:lang w:val="en-US"/>
        </w:rPr>
        <w:t xml:space="preserve">, we do not see the need to </w:t>
      </w:r>
      <w:r w:rsidR="001D6046">
        <w:rPr>
          <w:rFonts w:ascii="Arial" w:hAnsi="Arial" w:cs="Arial"/>
          <w:sz w:val="20"/>
          <w:szCs w:val="20"/>
          <w:lang w:val="en-US"/>
        </w:rPr>
        <w:t>introduce such limitation</w:t>
      </w:r>
      <w:r w:rsidR="00A920A9">
        <w:rPr>
          <w:rFonts w:ascii="Arial" w:hAnsi="Arial" w:cs="Arial"/>
          <w:sz w:val="20"/>
          <w:szCs w:val="20"/>
          <w:lang w:val="en-US"/>
        </w:rPr>
        <w:t>.</w:t>
      </w:r>
      <w:r w:rsidR="00AE14F1">
        <w:rPr>
          <w:rFonts w:ascii="Arial" w:hAnsi="Arial" w:cs="Arial"/>
          <w:sz w:val="20"/>
          <w:szCs w:val="20"/>
        </w:rPr>
        <w:t xml:space="preserve"> </w:t>
      </w:r>
    </w:p>
    <w:p w14:paraId="045A06CE" w14:textId="77777777" w:rsidR="00600F59" w:rsidRPr="00AE14F1" w:rsidRDefault="00600F59" w:rsidP="00861D3E">
      <w:pPr>
        <w:jc w:val="both"/>
        <w:rPr>
          <w:rFonts w:ascii="Arial" w:hAnsi="Arial" w:cs="Arial"/>
          <w:sz w:val="20"/>
          <w:szCs w:val="20"/>
        </w:rPr>
      </w:pPr>
    </w:p>
    <w:p w14:paraId="2B0A3B9C" w14:textId="29333DBA" w:rsidR="006A32D3" w:rsidRDefault="002F3E3F" w:rsidP="002F3E3F">
      <w:pPr>
        <w:rPr>
          <w:rFonts w:ascii="Arial" w:hAnsi="Arial" w:cs="Arial"/>
          <w:sz w:val="20"/>
          <w:szCs w:val="20"/>
        </w:rPr>
      </w:pPr>
      <w:r>
        <w:rPr>
          <w:rFonts w:ascii="Arial" w:hAnsi="Arial" w:cs="Arial"/>
          <w:sz w:val="20"/>
          <w:szCs w:val="20"/>
        </w:rPr>
        <w:t xml:space="preserve">  </w:t>
      </w:r>
    </w:p>
    <w:p w14:paraId="465047E9" w14:textId="0F6D0579" w:rsidR="002F3E3F" w:rsidRPr="00816CBB" w:rsidRDefault="00483B5E" w:rsidP="002F3E3F">
      <w:pPr>
        <w:pStyle w:val="Proposal"/>
        <w:ind w:hanging="1446"/>
      </w:pPr>
      <w:bookmarkStart w:id="1" w:name="_Toc142585318"/>
      <w:r>
        <w:rPr>
          <w:rFonts w:eastAsia="MS Gothic"/>
          <w:iCs/>
          <w:sz w:val="21"/>
          <w:lang w:eastAsia="ja-JP"/>
        </w:rPr>
        <w:t xml:space="preserve">It should be possible </w:t>
      </w:r>
      <w:r w:rsidR="00F776DC">
        <w:rPr>
          <w:rFonts w:eastAsia="MS Gothic"/>
          <w:iCs/>
          <w:sz w:val="21"/>
          <w:lang w:eastAsia="ja-JP"/>
        </w:rPr>
        <w:t xml:space="preserve">for RAN </w:t>
      </w:r>
      <w:r>
        <w:rPr>
          <w:rFonts w:eastAsia="MS Gothic"/>
          <w:iCs/>
          <w:sz w:val="21"/>
          <w:lang w:eastAsia="ja-JP"/>
        </w:rPr>
        <w:t xml:space="preserve">to configure </w:t>
      </w:r>
      <w:r w:rsidR="001F28FC">
        <w:rPr>
          <w:rFonts w:eastAsia="MS Gothic"/>
          <w:iCs/>
          <w:sz w:val="21"/>
          <w:lang w:eastAsia="ja-JP"/>
        </w:rPr>
        <w:t xml:space="preserve">the length of </w:t>
      </w:r>
      <w:r w:rsidR="002F3E3F">
        <w:rPr>
          <w:rFonts w:eastAsia="MS Gothic"/>
          <w:iCs/>
          <w:sz w:val="21"/>
          <w:lang w:eastAsia="ja-JP"/>
        </w:rPr>
        <w:t xml:space="preserve">RAN PTW </w:t>
      </w:r>
      <w:r w:rsidR="00EE5D97">
        <w:rPr>
          <w:rFonts w:eastAsia="MS Gothic"/>
          <w:iCs/>
          <w:sz w:val="21"/>
          <w:lang w:eastAsia="ja-JP"/>
        </w:rPr>
        <w:t>with a value</w:t>
      </w:r>
      <w:r w:rsidR="002F3E3F">
        <w:rPr>
          <w:rFonts w:eastAsia="MS Gothic"/>
          <w:iCs/>
          <w:sz w:val="21"/>
          <w:lang w:eastAsia="ja-JP"/>
        </w:rPr>
        <w:t xml:space="preserve"> </w:t>
      </w:r>
      <w:r w:rsidR="00AE14F1">
        <w:rPr>
          <w:rFonts w:eastAsia="MS Gothic"/>
          <w:iCs/>
          <w:sz w:val="21"/>
          <w:lang w:eastAsia="ja-JP"/>
        </w:rPr>
        <w:t xml:space="preserve">smaller, equal to, or </w:t>
      </w:r>
      <w:r w:rsidR="00861D3E">
        <w:rPr>
          <w:rFonts w:eastAsia="MS Gothic"/>
          <w:iCs/>
          <w:sz w:val="21"/>
          <w:lang w:eastAsia="ja-JP"/>
        </w:rPr>
        <w:t>l</w:t>
      </w:r>
      <w:r w:rsidR="00EE5D97">
        <w:rPr>
          <w:rFonts w:eastAsia="MS Gothic"/>
          <w:iCs/>
          <w:sz w:val="21"/>
          <w:lang w:eastAsia="ja-JP"/>
        </w:rPr>
        <w:t>arger</w:t>
      </w:r>
      <w:r w:rsidR="00861D3E">
        <w:rPr>
          <w:rFonts w:eastAsia="MS Gothic"/>
          <w:iCs/>
          <w:sz w:val="21"/>
          <w:lang w:eastAsia="ja-JP"/>
        </w:rPr>
        <w:t xml:space="preserve"> than </w:t>
      </w:r>
      <w:r w:rsidR="002F3E3F">
        <w:rPr>
          <w:rFonts w:eastAsia="MS Gothic"/>
          <w:iCs/>
          <w:sz w:val="21"/>
          <w:lang w:eastAsia="ja-JP"/>
        </w:rPr>
        <w:t xml:space="preserve">the </w:t>
      </w:r>
      <w:r w:rsidR="00417907">
        <w:rPr>
          <w:rFonts w:eastAsia="MS Gothic"/>
          <w:iCs/>
          <w:sz w:val="21"/>
          <w:lang w:eastAsia="ja-JP"/>
        </w:rPr>
        <w:t xml:space="preserve">length of </w:t>
      </w:r>
      <w:r w:rsidR="002F3E3F">
        <w:rPr>
          <w:rFonts w:eastAsia="MS Gothic"/>
          <w:iCs/>
          <w:sz w:val="21"/>
          <w:lang w:eastAsia="ja-JP"/>
        </w:rPr>
        <w:t>CN PTW</w:t>
      </w:r>
      <w:r w:rsidR="002F3E3F" w:rsidRPr="00FB3131">
        <w:rPr>
          <w:rFonts w:cs="Arial"/>
          <w:szCs w:val="20"/>
        </w:rPr>
        <w:t>.</w:t>
      </w:r>
      <w:bookmarkEnd w:id="1"/>
    </w:p>
    <w:p w14:paraId="4CDDCCEC" w14:textId="77777777" w:rsidR="00600F59" w:rsidRDefault="00600F59" w:rsidP="007E6CCE">
      <w:pPr>
        <w:rPr>
          <w:rFonts w:ascii="Arial" w:hAnsi="Arial" w:cs="Arial"/>
          <w:sz w:val="20"/>
          <w:szCs w:val="20"/>
          <w:lang w:val="en-US"/>
        </w:rPr>
      </w:pPr>
    </w:p>
    <w:p w14:paraId="61697B1B" w14:textId="0CC3C15D" w:rsidR="007E6CCE" w:rsidRDefault="000E77C4" w:rsidP="007E6CCE">
      <w:pPr>
        <w:rPr>
          <w:rFonts w:ascii="Arial" w:hAnsi="Arial" w:cs="Arial"/>
          <w:sz w:val="20"/>
          <w:szCs w:val="20"/>
          <w:lang w:val="en-US"/>
        </w:rPr>
      </w:pPr>
      <w:r w:rsidRPr="003C114D">
        <w:rPr>
          <w:rFonts w:ascii="Arial" w:hAnsi="Arial" w:cs="Arial"/>
          <w:sz w:val="20"/>
          <w:szCs w:val="20"/>
          <w:lang w:val="en-US"/>
        </w:rPr>
        <w:t>If proposal 1 is agreed, the following can be observ</w:t>
      </w:r>
      <w:r w:rsidR="00F647D4" w:rsidRPr="003C114D">
        <w:rPr>
          <w:rFonts w:ascii="Arial" w:hAnsi="Arial" w:cs="Arial"/>
          <w:sz w:val="20"/>
          <w:szCs w:val="20"/>
          <w:lang w:val="en-US"/>
        </w:rPr>
        <w:t>ed:</w:t>
      </w:r>
      <w:r w:rsidR="00E9354B" w:rsidRPr="003C114D" w:rsidDel="00E9354B">
        <w:rPr>
          <w:rFonts w:ascii="Arial" w:hAnsi="Arial" w:cs="Arial"/>
          <w:sz w:val="20"/>
          <w:szCs w:val="20"/>
          <w:lang w:val="en-US"/>
        </w:rPr>
        <w:t xml:space="preserve"> </w:t>
      </w:r>
    </w:p>
    <w:p w14:paraId="745AE000" w14:textId="77777777" w:rsidR="00600F59" w:rsidRPr="003C114D" w:rsidRDefault="00600F59" w:rsidP="007E6CCE">
      <w:pPr>
        <w:rPr>
          <w:rFonts w:ascii="Arial" w:hAnsi="Arial" w:cs="Arial"/>
          <w:sz w:val="20"/>
          <w:szCs w:val="20"/>
          <w:lang w:val="en-US"/>
        </w:rPr>
      </w:pPr>
    </w:p>
    <w:p w14:paraId="26A4AC07" w14:textId="77777777" w:rsidR="007E6CCE" w:rsidRPr="00966402" w:rsidRDefault="007E6CCE" w:rsidP="007E6CCE">
      <w:pPr>
        <w:rPr>
          <w:rFonts w:ascii="Arial" w:eastAsia="Times New Roman" w:hAnsi="Arial" w:cs="Times New Roman"/>
          <w:b/>
          <w:sz w:val="20"/>
          <w:szCs w:val="24"/>
          <w:lang w:eastAsia="ja-JP"/>
        </w:rPr>
      </w:pPr>
    </w:p>
    <w:p w14:paraId="5C61E295" w14:textId="657A9384" w:rsidR="007E6CCE" w:rsidRPr="007E6CCE" w:rsidRDefault="007E6CCE" w:rsidP="007E6CCE">
      <w:pPr>
        <w:pStyle w:val="Observation"/>
        <w:ind w:left="1560" w:hanging="1560"/>
      </w:pPr>
      <w:bookmarkStart w:id="2" w:name="_Toc142585369"/>
      <w:r>
        <w:rPr>
          <w:lang w:val="en-US"/>
        </w:rPr>
        <w:t>With a possibility of such PTW configuration, a UE can be paged</w:t>
      </w:r>
      <w:r w:rsidR="0004535D" w:rsidRPr="0004535D">
        <w:t xml:space="preserve"> </w:t>
      </w:r>
      <w:r w:rsidR="0004535D">
        <w:t xml:space="preserve">within the RAN PTW and CN PTW, within CN PTW </w:t>
      </w:r>
      <w:r w:rsidR="001B218B">
        <w:rPr>
          <w:lang w:val="en-US"/>
        </w:rPr>
        <w:t xml:space="preserve">when it </w:t>
      </w:r>
      <w:r w:rsidR="007D2839">
        <w:rPr>
          <w:lang w:val="en-US"/>
        </w:rPr>
        <w:t>is</w:t>
      </w:r>
      <w:r w:rsidR="0004535D">
        <w:t xml:space="preserve"> outside RAN PTW, </w:t>
      </w:r>
      <w:r w:rsidR="007D2839">
        <w:rPr>
          <w:lang w:val="en-US"/>
        </w:rPr>
        <w:t xml:space="preserve">or </w:t>
      </w:r>
      <w:r w:rsidR="0004535D">
        <w:t xml:space="preserve">within RAN PTW </w:t>
      </w:r>
      <w:r w:rsidR="007D2839">
        <w:rPr>
          <w:lang w:val="en-US"/>
        </w:rPr>
        <w:t>when it is</w:t>
      </w:r>
      <w:r w:rsidR="0004535D">
        <w:t xml:space="preserve"> outside CN PTW</w:t>
      </w:r>
      <w:r>
        <w:rPr>
          <w:szCs w:val="24"/>
        </w:rPr>
        <w:t>.</w:t>
      </w:r>
      <w:bookmarkEnd w:id="2"/>
      <w:r>
        <w:rPr>
          <w:szCs w:val="24"/>
        </w:rPr>
        <w:t xml:space="preserve"> </w:t>
      </w:r>
    </w:p>
    <w:p w14:paraId="7E990A61" w14:textId="77777777" w:rsidR="00E93ABA" w:rsidRDefault="00E93ABA" w:rsidP="003626FA">
      <w:pPr>
        <w:jc w:val="both"/>
        <w:rPr>
          <w:rFonts w:ascii="Arial" w:hAnsi="Arial" w:cs="Arial"/>
          <w:sz w:val="20"/>
          <w:szCs w:val="20"/>
        </w:rPr>
      </w:pPr>
    </w:p>
    <w:p w14:paraId="13CB9934" w14:textId="77777777" w:rsidR="00816CBB" w:rsidRPr="00F01F06" w:rsidRDefault="00816CBB" w:rsidP="00AE14F1">
      <w:pPr>
        <w:pStyle w:val="Proposal"/>
        <w:numPr>
          <w:ilvl w:val="0"/>
          <w:numId w:val="0"/>
        </w:numPr>
      </w:pPr>
    </w:p>
    <w:p w14:paraId="3DE4A65C" w14:textId="18572A3B" w:rsidR="00AE14F1" w:rsidRPr="00FA4BBA" w:rsidRDefault="00AE14F1" w:rsidP="00AE14F1">
      <w:pPr>
        <w:pStyle w:val="Heading1"/>
        <w:jc w:val="both"/>
        <w:rPr>
          <w:rFonts w:cs="Arial"/>
        </w:rPr>
      </w:pPr>
      <w:r>
        <w:rPr>
          <w:rFonts w:cs="Arial"/>
        </w:rPr>
        <w:lastRenderedPageBreak/>
        <w:t>3</w:t>
      </w:r>
      <w:r w:rsidRPr="0003073D">
        <w:rPr>
          <w:rFonts w:cs="Arial"/>
        </w:rPr>
        <w:tab/>
      </w:r>
      <w:r>
        <w:rPr>
          <w:rFonts w:cs="Arial"/>
        </w:rPr>
        <w:t>PTW Configuration from RAN to AMF</w:t>
      </w:r>
    </w:p>
    <w:p w14:paraId="07CED996" w14:textId="77777777" w:rsidR="00AE14F1" w:rsidRPr="00A40D2A" w:rsidRDefault="00AE14F1" w:rsidP="00AE14F1">
      <w:pPr>
        <w:rPr>
          <w:rFonts w:ascii="Arial" w:hAnsi="Arial" w:cs="Arial"/>
          <w:sz w:val="20"/>
          <w:szCs w:val="20"/>
          <w:lang w:eastAsia="ja-JP"/>
        </w:rPr>
      </w:pPr>
      <w:r w:rsidRPr="00FA4BBA">
        <w:rPr>
          <w:rFonts w:ascii="Arial" w:hAnsi="Arial" w:cs="Arial"/>
          <w:sz w:val="20"/>
          <w:szCs w:val="20"/>
          <w:lang w:eastAsia="ja-JP"/>
        </w:rPr>
        <w:t>It has been agreed earlier that RAN provides the INACTIVE eDRX cycle to CN for handling MT data.</w:t>
      </w:r>
      <w:r w:rsidRPr="00A40D2A">
        <w:rPr>
          <w:rFonts w:ascii="Arial" w:hAnsi="Arial" w:cs="Arial"/>
          <w:sz w:val="20"/>
          <w:szCs w:val="20"/>
          <w:lang w:eastAsia="ja-JP"/>
        </w:rPr>
        <w:t xml:space="preserve"> </w:t>
      </w:r>
    </w:p>
    <w:p w14:paraId="257E11E1" w14:textId="77777777" w:rsidR="00AE14F1" w:rsidRPr="00FA4BBA" w:rsidRDefault="00AE14F1" w:rsidP="00AE14F1">
      <w:pPr>
        <w:rPr>
          <w:rFonts w:ascii="Arial" w:hAnsi="Arial" w:cs="Arial"/>
          <w:sz w:val="20"/>
          <w:szCs w:val="20"/>
          <w:lang w:eastAsia="ja-JP"/>
        </w:rPr>
      </w:pPr>
    </w:p>
    <w:p w14:paraId="7080BC07" w14:textId="77777777" w:rsidR="00AE14F1" w:rsidRPr="00AD1557" w:rsidRDefault="00AE14F1" w:rsidP="00AE14F1">
      <w:pPr>
        <w:keepNext/>
        <w:keepLines/>
        <w:spacing w:before="120" w:after="180"/>
        <w:ind w:left="1701" w:hanging="1701"/>
        <w:jc w:val="both"/>
        <w:outlineLvl w:val="4"/>
        <w:rPr>
          <w:rFonts w:ascii="Arial" w:eastAsia="Times New Roman" w:hAnsi="Arial" w:cs="Times New Roman"/>
          <w:i/>
          <w:iCs/>
          <w:szCs w:val="20"/>
          <w:lang w:val="en-GB"/>
        </w:rPr>
      </w:pPr>
      <w:r w:rsidRPr="00AD1557">
        <w:rPr>
          <w:rFonts w:ascii="Arial" w:eastAsia="Times New Roman" w:hAnsi="Arial" w:cs="Times New Roman"/>
          <w:i/>
          <w:iCs/>
          <w:szCs w:val="20"/>
          <w:lang w:val="en-GB"/>
        </w:rPr>
        <w:t>5.31.7.2.4</w:t>
      </w:r>
      <w:r w:rsidRPr="00AD1557">
        <w:rPr>
          <w:rFonts w:ascii="Arial" w:eastAsia="Times New Roman" w:hAnsi="Arial" w:cs="Times New Roman"/>
          <w:i/>
          <w:iCs/>
          <w:szCs w:val="20"/>
          <w:lang w:val="en-GB"/>
        </w:rPr>
        <w:tab/>
        <w:t xml:space="preserve">Paging for extended DRX for RRC_INACTIVE in NR connected to </w:t>
      </w:r>
      <w:proofErr w:type="gramStart"/>
      <w:r w:rsidRPr="00AD1557">
        <w:rPr>
          <w:rFonts w:ascii="Arial" w:eastAsia="Times New Roman" w:hAnsi="Arial" w:cs="Times New Roman"/>
          <w:i/>
          <w:iCs/>
          <w:szCs w:val="20"/>
          <w:lang w:val="en-GB"/>
        </w:rPr>
        <w:t>5GC</w:t>
      </w:r>
      <w:proofErr w:type="gramEnd"/>
    </w:p>
    <w:p w14:paraId="15BA49D6" w14:textId="77777777" w:rsidR="00AE14F1" w:rsidRPr="00AD1557" w:rsidRDefault="00AE14F1" w:rsidP="00AE14F1">
      <w:pPr>
        <w:spacing w:after="180"/>
        <w:jc w:val="both"/>
        <w:rPr>
          <w:rFonts w:ascii="Times New Roman" w:eastAsia="Times New Roman" w:hAnsi="Times New Roman" w:cs="Times New Roman"/>
          <w:i/>
          <w:iCs/>
          <w:sz w:val="20"/>
          <w:szCs w:val="20"/>
          <w:lang w:val="en-GB"/>
        </w:rPr>
      </w:pPr>
      <w:r w:rsidRPr="00AD1557">
        <w:rPr>
          <w:rFonts w:ascii="Times New Roman" w:eastAsia="Times New Roman" w:hAnsi="Times New Roman" w:cs="Times New Roman"/>
          <w:i/>
          <w:iCs/>
          <w:sz w:val="20"/>
          <w:szCs w:val="20"/>
          <w:lang w:val="en-GB"/>
        </w:rPr>
        <w:t>For NR, the NG-RAN may request the CN to handle mobile terminated (MT) communication for the UE configured with eDRX for RRC_INACTIVE state by means of the Connection Inactive procedure with CN based MT communication handling Procedure (see clause 4.8.1.1a of TS 23.502 [3]). This allows the CN to apply high latency communication functions as specified in clause 5.31.8. The NG-RAN provides the eDRX cycle value for RRC_INACTIVE to AMF (</w:t>
      </w:r>
      <w:proofErr w:type="gramStart"/>
      <w:r w:rsidRPr="00AD1557">
        <w:rPr>
          <w:rFonts w:ascii="Times New Roman" w:eastAsia="Times New Roman" w:hAnsi="Times New Roman" w:cs="Times New Roman"/>
          <w:i/>
          <w:iCs/>
          <w:sz w:val="20"/>
          <w:szCs w:val="20"/>
          <w:lang w:val="en-GB"/>
        </w:rPr>
        <w:t>i.e.</w:t>
      </w:r>
      <w:proofErr w:type="gramEnd"/>
      <w:r w:rsidRPr="00AD1557">
        <w:rPr>
          <w:rFonts w:ascii="Times New Roman" w:eastAsia="Times New Roman" w:hAnsi="Times New Roman" w:cs="Times New Roman"/>
          <w:i/>
          <w:iCs/>
          <w:sz w:val="20"/>
          <w:szCs w:val="20"/>
          <w:lang w:val="en-GB"/>
        </w:rPr>
        <w:t xml:space="preserve"> &gt;10.24s). Based on the request from NG-RAN, the AMF responds to NG-RAN and informs other NFs (</w:t>
      </w:r>
      <w:proofErr w:type="gramStart"/>
      <w:r w:rsidRPr="00AD1557">
        <w:rPr>
          <w:rFonts w:ascii="Times New Roman" w:eastAsia="Times New Roman" w:hAnsi="Times New Roman" w:cs="Times New Roman"/>
          <w:i/>
          <w:iCs/>
          <w:sz w:val="20"/>
          <w:szCs w:val="20"/>
          <w:lang w:val="en-GB"/>
        </w:rPr>
        <w:t>e.g.</w:t>
      </w:r>
      <w:proofErr w:type="gramEnd"/>
      <w:r w:rsidRPr="00AD1557">
        <w:rPr>
          <w:rFonts w:ascii="Times New Roman" w:eastAsia="Times New Roman" w:hAnsi="Times New Roman" w:cs="Times New Roman"/>
          <w:i/>
          <w:iCs/>
          <w:sz w:val="20"/>
          <w:szCs w:val="20"/>
          <w:lang w:val="en-GB"/>
        </w:rPr>
        <w:t xml:space="preserve"> SMF and UPF) involved in downlink data or signalling handling and trigger the data buffering as specified in clause 4.8.1.1a of TS 23.502 [3].</w:t>
      </w:r>
    </w:p>
    <w:p w14:paraId="26AF62CC" w14:textId="77777777" w:rsidR="00AE14F1" w:rsidRPr="00AD1557" w:rsidRDefault="00AE14F1" w:rsidP="00AE14F1">
      <w:pPr>
        <w:spacing w:after="180"/>
        <w:jc w:val="both"/>
        <w:rPr>
          <w:rFonts w:ascii="Times New Roman" w:eastAsia="Times New Roman" w:hAnsi="Times New Roman" w:cs="Times New Roman"/>
          <w:i/>
          <w:iCs/>
          <w:sz w:val="20"/>
          <w:szCs w:val="20"/>
          <w:lang w:val="en-GB"/>
        </w:rPr>
      </w:pPr>
      <w:r w:rsidRPr="00AD1557">
        <w:rPr>
          <w:rFonts w:ascii="Times New Roman" w:eastAsia="Times New Roman" w:hAnsi="Times New Roman" w:cs="Times New Roman"/>
          <w:i/>
          <w:iCs/>
          <w:sz w:val="20"/>
          <w:szCs w:val="20"/>
          <w:lang w:val="en-GB"/>
        </w:rPr>
        <w:t>When MT data or signalling arrives for a UE in RRC_INACTIVE state, the other NFs communicate with the AMF for delivery of MT data or signalling. The AMF calculates the UE reachability based on the eDRX cycle value for RRC_INACTIVE state provided by NG-RAN and triggers NG-RAN paging via an N2 message if the UE is considered reachable as specified in clause 4.8.2.2b of TS 23.502 [3], otherwise the AMF informs other NFs applying high latency communication functions as specified in clause 5.31.8 based on eDRX cycle for RRC_INACTIVE (e.g. an Estimated Maximum Wait Time is calculated based on eDRX cycle value for RRC_INACTIVE).</w:t>
      </w:r>
    </w:p>
    <w:p w14:paraId="316DED99" w14:textId="77777777" w:rsidR="00AE14F1" w:rsidRPr="00AD1557" w:rsidRDefault="00AE14F1" w:rsidP="00AE14F1">
      <w:pPr>
        <w:spacing w:after="180"/>
        <w:jc w:val="both"/>
        <w:rPr>
          <w:rFonts w:ascii="Times New Roman" w:eastAsia="Times New Roman" w:hAnsi="Times New Roman" w:cs="Times New Roman"/>
          <w:i/>
          <w:iCs/>
          <w:sz w:val="20"/>
          <w:szCs w:val="20"/>
          <w:lang w:val="en-GB"/>
        </w:rPr>
      </w:pPr>
      <w:r w:rsidRPr="00AD1557">
        <w:rPr>
          <w:rFonts w:ascii="Times New Roman" w:eastAsia="Times New Roman" w:hAnsi="Times New Roman" w:cs="Times New Roman"/>
          <w:i/>
          <w:iCs/>
          <w:sz w:val="20"/>
          <w:szCs w:val="20"/>
          <w:lang w:val="en-GB"/>
        </w:rPr>
        <w:t>When the UE enters RRC_CONNECTED state if the NG-RAN had sent the indication for the CN to handle mobile terminated (MT) communication, NG-RAN informs the AMF that the UE is now in RRC_CONNECTED state as specified in clause 4.8.2.2 of TS 23.502 [3]. The AMF then informs other NFs that the UE is now reachable using the high latency communication functions as specified in clause 5.31.8 and MT data and signalling can be delivered to the UE.</w:t>
      </w:r>
    </w:p>
    <w:p w14:paraId="0F843134" w14:textId="7E0A0479" w:rsidR="00AE14F1" w:rsidRPr="00AD1557" w:rsidRDefault="00AE14F1" w:rsidP="00AE14F1">
      <w:pPr>
        <w:jc w:val="both"/>
        <w:rPr>
          <w:rFonts w:ascii="Arial" w:hAnsi="Arial" w:cs="Arial"/>
          <w:sz w:val="20"/>
          <w:szCs w:val="20"/>
          <w:lang w:eastAsia="ja-JP"/>
        </w:rPr>
      </w:pPr>
      <w:r w:rsidRPr="00A40D2A">
        <w:rPr>
          <w:rFonts w:ascii="Arial" w:hAnsi="Arial" w:cs="Arial"/>
          <w:sz w:val="20"/>
          <w:szCs w:val="20"/>
          <w:lang w:eastAsia="ja-JP"/>
        </w:rPr>
        <w:t xml:space="preserve">Now the question is whether the RAN configured PTW should be provided to the CN or not. </w:t>
      </w:r>
      <w:r>
        <w:rPr>
          <w:rFonts w:ascii="Arial" w:hAnsi="Arial" w:cs="Arial"/>
          <w:sz w:val="20"/>
          <w:szCs w:val="20"/>
          <w:lang w:eastAsia="ja-JP"/>
        </w:rPr>
        <w:t>A</w:t>
      </w:r>
      <w:r w:rsidRPr="00A40D2A">
        <w:rPr>
          <w:rFonts w:ascii="Arial" w:hAnsi="Arial" w:cs="Arial"/>
          <w:sz w:val="20"/>
          <w:szCs w:val="20"/>
          <w:lang w:eastAsia="ja-JP"/>
        </w:rPr>
        <w:t xml:space="preserve"> UE operating in eDRX </w:t>
      </w:r>
      <w:r>
        <w:rPr>
          <w:rFonts w:ascii="Arial" w:hAnsi="Arial" w:cs="Arial"/>
          <w:sz w:val="20"/>
          <w:szCs w:val="20"/>
          <w:lang w:eastAsia="ja-JP"/>
        </w:rPr>
        <w:t xml:space="preserve">longer than 10.24 s, </w:t>
      </w:r>
      <w:r w:rsidRPr="00A40D2A">
        <w:rPr>
          <w:rFonts w:ascii="Arial" w:hAnsi="Arial" w:cs="Arial"/>
          <w:sz w:val="20"/>
          <w:szCs w:val="20"/>
          <w:lang w:eastAsia="ja-JP"/>
        </w:rPr>
        <w:t xml:space="preserve">monitors POs during a periodic Paging Time Window (PTW) configured for the UE. </w:t>
      </w:r>
      <w:r>
        <w:rPr>
          <w:rFonts w:ascii="Arial" w:hAnsi="Arial" w:cs="Arial"/>
          <w:sz w:val="20"/>
          <w:szCs w:val="20"/>
          <w:lang w:eastAsia="ja-JP"/>
        </w:rPr>
        <w:t xml:space="preserve">The start position of PTW is determined following the recent agreement from RAN2 meeting i.e., RAN and CN will use the PTW start calculation based only on </w:t>
      </w:r>
      <w:r w:rsidRPr="00AE14F1">
        <w:rPr>
          <w:rFonts w:ascii="Arial" w:hAnsi="Arial" w:cs="Arial"/>
          <w:b/>
          <w:bCs/>
          <w:sz w:val="20"/>
          <w:szCs w:val="20"/>
          <w:lang w:eastAsia="ja-JP"/>
        </w:rPr>
        <w:t>CN eDRX</w:t>
      </w:r>
      <w:r>
        <w:rPr>
          <w:rFonts w:ascii="Arial" w:hAnsi="Arial" w:cs="Arial"/>
          <w:sz w:val="20"/>
          <w:szCs w:val="20"/>
          <w:lang w:eastAsia="ja-JP"/>
        </w:rPr>
        <w:t xml:space="preserve"> cycle. The only remaining thing is the length of PTW, which the CN is unaware of as it is configured by RAN for RAN PTW. Since, RAN and CN can configure different PTW length for RAN PTW and CN PTW accordingly, it makes sense to inform CN about the RAN PTW configuration</w:t>
      </w:r>
      <w:r w:rsidR="00AD1557">
        <w:rPr>
          <w:rFonts w:ascii="Arial" w:hAnsi="Arial" w:cs="Arial"/>
          <w:sz w:val="20"/>
          <w:szCs w:val="20"/>
          <w:lang w:eastAsia="ja-JP"/>
        </w:rPr>
        <w:t xml:space="preserve"> e.g., when a UE is configured with long eDRX </w:t>
      </w:r>
      <w:r w:rsidR="00AD1557" w:rsidRPr="00AD1557">
        <w:rPr>
          <w:rFonts w:ascii="Arial" w:hAnsi="Arial" w:cs="Arial"/>
          <w:sz w:val="20"/>
          <w:szCs w:val="20"/>
        </w:rPr>
        <w:t>&gt;</w:t>
      </w:r>
      <w:r w:rsidR="00AD1557">
        <w:rPr>
          <w:rFonts w:ascii="Arial" w:hAnsi="Arial" w:cs="Arial"/>
          <w:sz w:val="20"/>
          <w:szCs w:val="20"/>
        </w:rPr>
        <w:t xml:space="preserve"> </w:t>
      </w:r>
      <w:r w:rsidR="00AD1557" w:rsidRPr="00AD1557">
        <w:rPr>
          <w:rFonts w:ascii="Arial" w:hAnsi="Arial" w:cs="Arial"/>
          <w:sz w:val="20"/>
          <w:szCs w:val="20"/>
        </w:rPr>
        <w:t>10.24</w:t>
      </w:r>
      <w:r w:rsidR="00AD1557">
        <w:rPr>
          <w:rFonts w:ascii="Arial" w:hAnsi="Arial" w:cs="Arial"/>
          <w:sz w:val="20"/>
          <w:szCs w:val="20"/>
        </w:rPr>
        <w:t xml:space="preserve"> </w:t>
      </w:r>
      <w:r w:rsidR="00AD1557" w:rsidRPr="00AD1557">
        <w:rPr>
          <w:rFonts w:ascii="Arial" w:hAnsi="Arial" w:cs="Arial"/>
          <w:sz w:val="20"/>
          <w:szCs w:val="20"/>
        </w:rPr>
        <w:t>s, the CN shall send the NGAP request message for RAN Paging to NG-RAN based on the Paging eDRX Cycle and RAN PTW length.</w:t>
      </w:r>
      <w:r w:rsidR="00AD1557">
        <w:rPr>
          <w:rFonts w:ascii="Arial" w:hAnsi="Arial" w:cs="Arial"/>
          <w:sz w:val="20"/>
          <w:szCs w:val="20"/>
        </w:rPr>
        <w:t xml:space="preserve"> </w:t>
      </w:r>
      <w:r w:rsidR="00F56E93">
        <w:rPr>
          <w:rFonts w:ascii="Arial" w:hAnsi="Arial" w:cs="Arial"/>
          <w:sz w:val="20"/>
          <w:szCs w:val="20"/>
        </w:rPr>
        <w:t xml:space="preserve">The information about RAN PTW length is important for cases </w:t>
      </w:r>
      <w:r w:rsidR="00F56E93" w:rsidRPr="00F56E93">
        <w:rPr>
          <w:rFonts w:ascii="Arial" w:hAnsi="Arial" w:cs="Arial"/>
          <w:sz w:val="20"/>
          <w:szCs w:val="20"/>
        </w:rPr>
        <w:t>where DL data arrives after PTW start</w:t>
      </w:r>
      <w:r w:rsidR="007713C6">
        <w:rPr>
          <w:rFonts w:ascii="Arial" w:hAnsi="Arial" w:cs="Arial"/>
          <w:sz w:val="20"/>
          <w:szCs w:val="20"/>
          <w:lang w:val="en-US"/>
        </w:rPr>
        <w:t>s</w:t>
      </w:r>
      <w:r w:rsidR="00F56E93">
        <w:rPr>
          <w:rFonts w:ascii="Arial" w:hAnsi="Arial" w:cs="Arial"/>
          <w:sz w:val="20"/>
          <w:szCs w:val="20"/>
        </w:rPr>
        <w:t>,</w:t>
      </w:r>
      <w:r w:rsidR="00F56E93" w:rsidRPr="00F56E93">
        <w:rPr>
          <w:rFonts w:ascii="Arial" w:hAnsi="Arial" w:cs="Arial"/>
          <w:sz w:val="20"/>
          <w:szCs w:val="20"/>
        </w:rPr>
        <w:t xml:space="preserve"> </w:t>
      </w:r>
      <w:r w:rsidR="00F56E93">
        <w:rPr>
          <w:rFonts w:ascii="Arial" w:hAnsi="Arial" w:cs="Arial"/>
          <w:sz w:val="20"/>
          <w:szCs w:val="20"/>
        </w:rPr>
        <w:t>t</w:t>
      </w:r>
      <w:r w:rsidR="00F56E93" w:rsidRPr="00F56E93">
        <w:rPr>
          <w:rFonts w:ascii="Arial" w:hAnsi="Arial" w:cs="Arial"/>
          <w:sz w:val="20"/>
          <w:szCs w:val="20"/>
        </w:rPr>
        <w:t xml:space="preserve">hen AMF may want to know if </w:t>
      </w:r>
      <w:r w:rsidR="00F56E93">
        <w:rPr>
          <w:rFonts w:ascii="Arial" w:hAnsi="Arial" w:cs="Arial"/>
          <w:sz w:val="20"/>
          <w:szCs w:val="20"/>
        </w:rPr>
        <w:t>d</w:t>
      </w:r>
      <w:r w:rsidR="00F56E93" w:rsidRPr="00F56E93">
        <w:rPr>
          <w:rFonts w:ascii="Arial" w:hAnsi="Arial" w:cs="Arial"/>
          <w:sz w:val="20"/>
          <w:szCs w:val="20"/>
        </w:rPr>
        <w:t xml:space="preserve">ata </w:t>
      </w:r>
      <w:r w:rsidR="00F56E93">
        <w:rPr>
          <w:rFonts w:ascii="Arial" w:hAnsi="Arial" w:cs="Arial"/>
          <w:sz w:val="20"/>
          <w:szCs w:val="20"/>
        </w:rPr>
        <w:t>n</w:t>
      </w:r>
      <w:r w:rsidR="00F56E93" w:rsidRPr="00F56E93">
        <w:rPr>
          <w:rFonts w:ascii="Arial" w:hAnsi="Arial" w:cs="Arial"/>
          <w:sz w:val="20"/>
          <w:szCs w:val="20"/>
        </w:rPr>
        <w:t xml:space="preserve">otification can still be triggered </w:t>
      </w:r>
      <w:r w:rsidR="00F56E93">
        <w:rPr>
          <w:rFonts w:ascii="Arial" w:hAnsi="Arial" w:cs="Arial"/>
          <w:sz w:val="20"/>
          <w:szCs w:val="20"/>
        </w:rPr>
        <w:t xml:space="preserve">to the UE </w:t>
      </w:r>
      <w:r w:rsidR="00F56E93" w:rsidRPr="00F56E93">
        <w:rPr>
          <w:rFonts w:ascii="Arial" w:hAnsi="Arial" w:cs="Arial"/>
          <w:sz w:val="20"/>
          <w:szCs w:val="20"/>
        </w:rPr>
        <w:t>before PTW end</w:t>
      </w:r>
      <w:r w:rsidR="002C103B">
        <w:rPr>
          <w:rFonts w:ascii="Arial" w:hAnsi="Arial" w:cs="Arial"/>
          <w:sz w:val="20"/>
          <w:szCs w:val="20"/>
          <w:lang w:val="en-US"/>
        </w:rPr>
        <w:t>s</w:t>
      </w:r>
      <w:r w:rsidR="00F56E93" w:rsidRPr="00F56E93">
        <w:rPr>
          <w:rFonts w:ascii="Arial" w:hAnsi="Arial" w:cs="Arial"/>
          <w:sz w:val="20"/>
          <w:szCs w:val="20"/>
        </w:rPr>
        <w:t xml:space="preserve"> and needs t</w:t>
      </w:r>
      <w:r w:rsidR="002C103B">
        <w:rPr>
          <w:rFonts w:ascii="Arial" w:hAnsi="Arial" w:cs="Arial"/>
          <w:sz w:val="20"/>
          <w:szCs w:val="20"/>
          <w:lang w:val="en-US"/>
        </w:rPr>
        <w:t>o know t</w:t>
      </w:r>
      <w:r w:rsidR="00F56E93" w:rsidRPr="00F56E93">
        <w:rPr>
          <w:rFonts w:ascii="Arial" w:hAnsi="Arial" w:cs="Arial"/>
          <w:sz w:val="20"/>
          <w:szCs w:val="20"/>
        </w:rPr>
        <w:t>he RAN PTW</w:t>
      </w:r>
      <w:r w:rsidR="00F56E93">
        <w:rPr>
          <w:rFonts w:ascii="Arial" w:hAnsi="Arial" w:cs="Arial"/>
          <w:sz w:val="20"/>
          <w:szCs w:val="20"/>
        </w:rPr>
        <w:t>.</w:t>
      </w:r>
      <w:r w:rsidR="00AD1557">
        <w:rPr>
          <w:rFonts w:ascii="Arial" w:hAnsi="Arial" w:cs="Arial"/>
          <w:sz w:val="20"/>
          <w:szCs w:val="20"/>
          <w:lang w:eastAsia="ja-JP"/>
        </w:rPr>
        <w:t xml:space="preserve"> </w:t>
      </w:r>
      <w:r w:rsidR="00AD1557" w:rsidRPr="007976FD">
        <w:rPr>
          <w:rFonts w:ascii="Arial" w:hAnsi="Arial" w:cs="Arial"/>
          <w:sz w:val="20"/>
          <w:szCs w:val="20"/>
          <w:lang w:eastAsia="ja-JP"/>
        </w:rPr>
        <w:t xml:space="preserve">Otherwise, if CN is not aware of the RAN PTW length, the CN </w:t>
      </w:r>
      <w:r w:rsidR="0051640F" w:rsidRPr="007976FD">
        <w:rPr>
          <w:rFonts w:ascii="Arial" w:hAnsi="Arial" w:cs="Arial"/>
          <w:sz w:val="20"/>
          <w:szCs w:val="20"/>
          <w:lang w:val="en-US" w:eastAsia="ja-JP"/>
        </w:rPr>
        <w:t>may need</w:t>
      </w:r>
      <w:r w:rsidR="00AD1557" w:rsidRPr="007976FD">
        <w:rPr>
          <w:rFonts w:ascii="Arial" w:hAnsi="Arial" w:cs="Arial"/>
          <w:sz w:val="20"/>
          <w:szCs w:val="20"/>
          <w:lang w:eastAsia="ja-JP"/>
        </w:rPr>
        <w:t xml:space="preserve"> to send </w:t>
      </w:r>
      <w:r w:rsidR="004240B4">
        <w:rPr>
          <w:rFonts w:ascii="Arial" w:hAnsi="Arial" w:cs="Arial"/>
          <w:sz w:val="20"/>
          <w:szCs w:val="20"/>
          <w:lang w:eastAsia="ja-JP"/>
        </w:rPr>
        <w:t xml:space="preserve">the </w:t>
      </w:r>
      <w:r w:rsidR="00AD1557" w:rsidRPr="007976FD">
        <w:rPr>
          <w:rFonts w:ascii="Arial" w:hAnsi="Arial" w:cs="Arial"/>
          <w:sz w:val="20"/>
          <w:szCs w:val="20"/>
          <w:lang w:eastAsia="ja-JP"/>
        </w:rPr>
        <w:t xml:space="preserve">NGAP message </w:t>
      </w:r>
      <w:r w:rsidR="00E23C4E">
        <w:rPr>
          <w:rFonts w:ascii="Arial" w:hAnsi="Arial" w:cs="Arial"/>
          <w:sz w:val="20"/>
          <w:szCs w:val="20"/>
          <w:lang w:eastAsia="ja-JP"/>
        </w:rPr>
        <w:t xml:space="preserve">prior to the starting point </w:t>
      </w:r>
      <w:r w:rsidR="00A22F5F">
        <w:rPr>
          <w:rFonts w:ascii="Arial" w:hAnsi="Arial" w:cs="Arial"/>
          <w:sz w:val="20"/>
          <w:szCs w:val="20"/>
          <w:lang w:eastAsia="ja-JP"/>
        </w:rPr>
        <w:t xml:space="preserve">of RAN </w:t>
      </w:r>
      <w:r w:rsidR="00AD1557" w:rsidRPr="007976FD">
        <w:rPr>
          <w:rFonts w:ascii="Arial" w:hAnsi="Arial" w:cs="Arial"/>
          <w:sz w:val="20"/>
          <w:szCs w:val="20"/>
          <w:lang w:eastAsia="ja-JP"/>
        </w:rPr>
        <w:t>PTW</w:t>
      </w:r>
      <w:r w:rsidR="00A22F5F">
        <w:rPr>
          <w:rFonts w:ascii="Arial" w:hAnsi="Arial" w:cs="Arial"/>
          <w:sz w:val="20"/>
          <w:szCs w:val="20"/>
          <w:lang w:eastAsia="ja-JP"/>
        </w:rPr>
        <w:t>.</w:t>
      </w:r>
      <w:r w:rsidR="00AD1557" w:rsidRPr="007976FD">
        <w:rPr>
          <w:rFonts w:ascii="Arial" w:hAnsi="Arial" w:cs="Arial"/>
          <w:sz w:val="20"/>
          <w:szCs w:val="20"/>
          <w:lang w:eastAsia="ja-JP"/>
        </w:rPr>
        <w:t>.</w:t>
      </w:r>
      <w:r w:rsidR="00AD1557" w:rsidRPr="00AD1557">
        <w:rPr>
          <w:rFonts w:ascii="Arial" w:hAnsi="Arial" w:cs="Arial"/>
          <w:sz w:val="20"/>
          <w:szCs w:val="20"/>
          <w:lang w:eastAsia="ja-JP"/>
        </w:rPr>
        <w:t xml:space="preserve"> </w:t>
      </w:r>
    </w:p>
    <w:p w14:paraId="5D605F72" w14:textId="77777777" w:rsidR="00AE14F1" w:rsidRPr="00A40D2A" w:rsidRDefault="00AE14F1" w:rsidP="00AE14F1">
      <w:pPr>
        <w:jc w:val="both"/>
        <w:rPr>
          <w:rFonts w:ascii="Arial" w:hAnsi="Arial" w:cs="Arial"/>
          <w:sz w:val="20"/>
          <w:szCs w:val="20"/>
          <w:lang w:eastAsia="ja-JP"/>
        </w:rPr>
      </w:pPr>
    </w:p>
    <w:p w14:paraId="553A8429" w14:textId="1BC445B7" w:rsidR="00AE14F1" w:rsidRPr="00600F59" w:rsidRDefault="00AE14F1" w:rsidP="00AE14F1">
      <w:pPr>
        <w:pStyle w:val="Proposal"/>
        <w:ind w:hanging="1446"/>
      </w:pPr>
      <w:bookmarkStart w:id="3" w:name="_Toc142585319"/>
      <w:r w:rsidRPr="1339CC52">
        <w:rPr>
          <w:rFonts w:eastAsia="MS Gothic"/>
          <w:sz w:val="21"/>
          <w:szCs w:val="21"/>
          <w:lang w:eastAsia="ja-JP"/>
        </w:rPr>
        <w:t>RAN informs CN about the RAN PTW length of a UE configured with extended eDRX cycles in RRC_INACTIVE.</w:t>
      </w:r>
      <w:bookmarkEnd w:id="3"/>
    </w:p>
    <w:p w14:paraId="6BCD2792" w14:textId="77777777" w:rsidR="00600F59" w:rsidRPr="00790346" w:rsidRDefault="00600F59" w:rsidP="00600F59">
      <w:pPr>
        <w:pStyle w:val="Proposal"/>
        <w:numPr>
          <w:ilvl w:val="0"/>
          <w:numId w:val="0"/>
        </w:numPr>
      </w:pPr>
    </w:p>
    <w:p w14:paraId="7359F4F3" w14:textId="2970C994" w:rsidR="00A00AE1" w:rsidRDefault="00A00AE1" w:rsidP="00A00AE1">
      <w:pPr>
        <w:pStyle w:val="Heading1"/>
        <w:jc w:val="both"/>
        <w:rPr>
          <w:rFonts w:cs="Arial"/>
        </w:rPr>
      </w:pPr>
      <w:r>
        <w:rPr>
          <w:rFonts w:cs="Arial"/>
        </w:rPr>
        <w:t>3</w:t>
      </w:r>
      <w:r w:rsidRPr="00950A01">
        <w:rPr>
          <w:rFonts w:cs="Arial"/>
        </w:rPr>
        <w:tab/>
      </w:r>
      <w:r>
        <w:rPr>
          <w:rFonts w:cs="Arial"/>
        </w:rPr>
        <w:t>Fallback mechanism</w:t>
      </w:r>
    </w:p>
    <w:p w14:paraId="5D1715F9" w14:textId="7AD35111" w:rsidR="00A00AE1" w:rsidRPr="00B83B87" w:rsidRDefault="00A00AE1" w:rsidP="00A00AE1">
      <w:pPr>
        <w:rPr>
          <w:rFonts w:ascii="Arial" w:hAnsi="Arial" w:cs="Arial"/>
          <w:sz w:val="20"/>
          <w:szCs w:val="20"/>
          <w:lang w:val="en-US"/>
        </w:rPr>
      </w:pPr>
      <w:r w:rsidRPr="00B83B87">
        <w:rPr>
          <w:rFonts w:ascii="Arial" w:hAnsi="Arial" w:cs="Arial"/>
          <w:sz w:val="20"/>
          <w:szCs w:val="20"/>
        </w:rPr>
        <w:t>The signalling of</w:t>
      </w:r>
      <w:r>
        <w:rPr>
          <w:rFonts w:ascii="Arial" w:hAnsi="Arial" w:cs="Arial"/>
          <w:sz w:val="20"/>
          <w:szCs w:val="20"/>
        </w:rPr>
        <w:t xml:space="preserve"> Rel-17 and Rel-18</w:t>
      </w:r>
      <w:r w:rsidRPr="00B83B87">
        <w:rPr>
          <w:rFonts w:ascii="Arial" w:hAnsi="Arial" w:cs="Arial"/>
          <w:sz w:val="20"/>
          <w:szCs w:val="20"/>
        </w:rPr>
        <w:t xml:space="preserve"> INACTIVE eDRX in a cell can be different for UEs supporting Release-17 (up to 10.24 s) and Release-18 (longer than 10.24s) and the fallback mechanism needs to be </w:t>
      </w:r>
      <w:r>
        <w:rPr>
          <w:rFonts w:ascii="Arial" w:hAnsi="Arial" w:cs="Arial"/>
          <w:sz w:val="20"/>
          <w:szCs w:val="20"/>
        </w:rPr>
        <w:t>designed accordingly</w:t>
      </w:r>
      <w:r w:rsidRPr="00B83B87">
        <w:rPr>
          <w:rFonts w:ascii="Arial" w:hAnsi="Arial" w:cs="Arial"/>
          <w:sz w:val="20"/>
          <w:szCs w:val="20"/>
        </w:rPr>
        <w:t xml:space="preserve">. </w:t>
      </w:r>
      <w:r w:rsidRPr="00B83B87">
        <w:rPr>
          <w:rFonts w:ascii="Arial" w:hAnsi="Arial" w:cs="Arial"/>
          <w:sz w:val="20"/>
          <w:szCs w:val="20"/>
          <w:lang w:val="en-US"/>
        </w:rPr>
        <w:t xml:space="preserve">RAN2 </w:t>
      </w:r>
      <w:r w:rsidRPr="00B83B87">
        <w:rPr>
          <w:rFonts w:ascii="Arial" w:hAnsi="Arial" w:cs="Arial"/>
          <w:sz w:val="20"/>
          <w:szCs w:val="20"/>
        </w:rPr>
        <w:t xml:space="preserve">has previously </w:t>
      </w:r>
      <w:r w:rsidRPr="00B83B87">
        <w:rPr>
          <w:rFonts w:ascii="Arial" w:hAnsi="Arial" w:cs="Arial"/>
          <w:sz w:val="20"/>
          <w:szCs w:val="20"/>
          <w:lang w:val="en-US"/>
        </w:rPr>
        <w:t xml:space="preserve">agreed the following regarding the </w:t>
      </w:r>
      <w:r>
        <w:rPr>
          <w:rFonts w:ascii="Arial" w:hAnsi="Arial" w:cs="Arial"/>
          <w:sz w:val="20"/>
          <w:szCs w:val="20"/>
        </w:rPr>
        <w:t>fallback</w:t>
      </w:r>
      <w:r w:rsidRPr="00B83B87">
        <w:rPr>
          <w:rFonts w:ascii="Arial" w:hAnsi="Arial" w:cs="Arial"/>
          <w:sz w:val="20"/>
          <w:szCs w:val="20"/>
          <w:lang w:val="en-US"/>
        </w:rPr>
        <w:t>:</w:t>
      </w:r>
    </w:p>
    <w:p w14:paraId="59B2E06D" w14:textId="77777777" w:rsidR="00A00AE1" w:rsidRDefault="00A00AE1" w:rsidP="00A00AE1">
      <w:pPr>
        <w:rPr>
          <w:rFonts w:ascii="Ericsson Hilda" w:hAnsi="Ericsson Hilda"/>
          <w:sz w:val="20"/>
          <w:szCs w:val="20"/>
          <w:lang w:val="en-US"/>
        </w:rPr>
      </w:pPr>
    </w:p>
    <w:p w14:paraId="41BB71E6" w14:textId="77777777" w:rsidR="00BA6EFB" w:rsidRDefault="00A00AE1" w:rsidP="00BA6EFB">
      <w:pPr>
        <w:ind w:left="284"/>
        <w:rPr>
          <w:rFonts w:ascii="Times New Roman" w:eastAsia="MS Mincho" w:hAnsi="Times New Roman" w:cs="Times New Roman"/>
          <w:sz w:val="20"/>
          <w:szCs w:val="20"/>
          <w:lang w:val="en-GB" w:eastAsia="ko-KR"/>
        </w:rPr>
      </w:pPr>
      <w:r w:rsidRPr="00B83B87">
        <w:rPr>
          <w:rFonts w:ascii="Times New Roman" w:eastAsia="MS Mincho" w:hAnsi="Times New Roman" w:cs="Times New Roman"/>
          <w:sz w:val="20"/>
          <w:szCs w:val="20"/>
          <w:lang w:val="en-GB" w:eastAsia="ko-KR"/>
        </w:rPr>
        <w:t>“</w:t>
      </w:r>
    </w:p>
    <w:p w14:paraId="062BFB92" w14:textId="270D3BCA" w:rsidR="00A00AE1" w:rsidRPr="001477DC" w:rsidRDefault="00A00AE1" w:rsidP="001477DC">
      <w:pPr>
        <w:pStyle w:val="ListParagraph"/>
        <w:numPr>
          <w:ilvl w:val="0"/>
          <w:numId w:val="39"/>
        </w:numPr>
        <w:ind w:left="851" w:hanging="284"/>
        <w:rPr>
          <w:rFonts w:ascii="Times New Roman" w:eastAsia="MS Mincho" w:hAnsi="Times New Roman" w:cs="Times New Roman"/>
          <w:sz w:val="20"/>
          <w:szCs w:val="20"/>
          <w:lang w:val="en-GB" w:eastAsia="ko-KR"/>
        </w:rPr>
      </w:pPr>
      <w:r w:rsidRPr="001477DC">
        <w:rPr>
          <w:rFonts w:ascii="Times New Roman" w:eastAsia="MS Mincho" w:hAnsi="Times New Roman" w:cs="Times New Roman"/>
          <w:sz w:val="20"/>
          <w:szCs w:val="20"/>
          <w:lang w:val="en-GB" w:eastAsia="ko-KR"/>
        </w:rPr>
        <w:t>UEs configured with Rel-18 enhanced INACTIVE eDRX should apply Rel-18 enhanced INACTIVE eDRX if Rel-18 enhanced INACTIVE eDRX is allowed in the serving cell, regardless of whether Rel-17 INACTIVE eDRX is allowed in the serving cell.</w:t>
      </w:r>
    </w:p>
    <w:p w14:paraId="75CE8D78" w14:textId="77777777" w:rsidR="00BA6EFB" w:rsidRPr="001477DC" w:rsidRDefault="00A00AE1" w:rsidP="001477DC">
      <w:pPr>
        <w:pStyle w:val="ListParagraph"/>
        <w:numPr>
          <w:ilvl w:val="0"/>
          <w:numId w:val="39"/>
        </w:numPr>
        <w:ind w:left="851" w:hanging="284"/>
      </w:pPr>
      <w:r w:rsidRPr="001477DC">
        <w:rPr>
          <w:rFonts w:ascii="Times New Roman" w:eastAsia="MS Mincho" w:hAnsi="Times New Roman" w:cs="Times New Roman"/>
          <w:sz w:val="20"/>
          <w:szCs w:val="20"/>
          <w:lang w:val="en-GB" w:eastAsia="ko-KR"/>
        </w:rPr>
        <w:t>UEs configured with Rel-18 enhanced INACTIVE eDRX should apply INACTIVE DRX if both Rel-18 enhanced INACTIVE eDRX and Rel-17 INACTIVE eDRX are not allowed in the serving cell.</w:t>
      </w:r>
      <w:r w:rsidR="00BA6EFB" w:rsidRPr="001477DC">
        <w:t xml:space="preserve"> </w:t>
      </w:r>
    </w:p>
    <w:p w14:paraId="60E319E6" w14:textId="10162A9C" w:rsidR="00BA6EFB" w:rsidRPr="001477DC" w:rsidRDefault="00BA6EFB" w:rsidP="001477DC">
      <w:pPr>
        <w:pStyle w:val="ListParagraph"/>
        <w:numPr>
          <w:ilvl w:val="0"/>
          <w:numId w:val="39"/>
        </w:numPr>
        <w:ind w:left="851" w:hanging="284"/>
        <w:rPr>
          <w:rFonts w:ascii="Times New Roman" w:eastAsia="MS Mincho" w:hAnsi="Times New Roman" w:cs="Times New Roman"/>
          <w:sz w:val="20"/>
          <w:szCs w:val="20"/>
          <w:lang w:val="en-GB" w:eastAsia="ko-KR"/>
        </w:rPr>
      </w:pPr>
      <w:r w:rsidRPr="001477DC">
        <w:rPr>
          <w:rFonts w:ascii="Times New Roman" w:eastAsia="MS Mincho" w:hAnsi="Times New Roman" w:cs="Times New Roman"/>
          <w:sz w:val="20"/>
          <w:szCs w:val="20"/>
          <w:lang w:val="en-GB" w:eastAsia="ko-KR"/>
        </w:rPr>
        <w:lastRenderedPageBreak/>
        <w:t>UE can support Rel-18 INACTIVE eDRX (which comprises eDRX cycles and PTWs), even if it doesn’t support Rel-17 INACTIVE eDRX.</w:t>
      </w:r>
    </w:p>
    <w:p w14:paraId="4FA5F1F5" w14:textId="77777777" w:rsidR="00BA6EFB" w:rsidRPr="001477DC" w:rsidRDefault="00BA6EFB" w:rsidP="001477DC">
      <w:pPr>
        <w:pStyle w:val="ListParagraph"/>
        <w:numPr>
          <w:ilvl w:val="0"/>
          <w:numId w:val="39"/>
        </w:numPr>
        <w:ind w:left="851" w:hanging="284"/>
        <w:rPr>
          <w:rFonts w:ascii="Times New Roman" w:eastAsia="MS Mincho" w:hAnsi="Times New Roman" w:cs="Times New Roman"/>
          <w:sz w:val="20"/>
          <w:szCs w:val="20"/>
          <w:lang w:val="en-GB" w:eastAsia="ko-KR"/>
        </w:rPr>
      </w:pPr>
      <w:r w:rsidRPr="001477DC">
        <w:rPr>
          <w:rFonts w:ascii="Times New Roman" w:eastAsia="MS Mincho" w:hAnsi="Times New Roman" w:cs="Times New Roman"/>
          <w:sz w:val="20"/>
          <w:szCs w:val="20"/>
          <w:lang w:val="en-GB" w:eastAsia="ko-KR"/>
        </w:rPr>
        <w:t>A cell can allow Rel-18 INACTIVE eDRX (which comprises eDRX cycles and PTWs), even if it doesn’t allow Rel-17 INACTIVE eDRX, but the cell must allow IDLE eDRX.</w:t>
      </w:r>
    </w:p>
    <w:p w14:paraId="3E588FD0" w14:textId="4F0D6343" w:rsidR="00A00AE1" w:rsidRPr="00B83B87" w:rsidRDefault="00A00AE1" w:rsidP="00BA6EFB">
      <w:pPr>
        <w:ind w:left="284"/>
        <w:rPr>
          <w:rFonts w:ascii="Times New Roman" w:eastAsia="MS Mincho" w:hAnsi="Times New Roman" w:cs="Times New Roman"/>
          <w:sz w:val="20"/>
          <w:szCs w:val="20"/>
          <w:lang w:val="en-GB" w:eastAsia="ko-KR"/>
        </w:rPr>
      </w:pPr>
      <w:r w:rsidRPr="00B83B87">
        <w:rPr>
          <w:rFonts w:ascii="Times New Roman" w:eastAsia="MS Mincho" w:hAnsi="Times New Roman" w:cs="Times New Roman"/>
          <w:sz w:val="20"/>
          <w:szCs w:val="20"/>
          <w:lang w:val="en-GB" w:eastAsia="ko-KR"/>
        </w:rPr>
        <w:t>”</w:t>
      </w:r>
    </w:p>
    <w:p w14:paraId="6691ECB6" w14:textId="77777777" w:rsidR="00A00AE1" w:rsidRDefault="00A00AE1" w:rsidP="00A00AE1">
      <w:pPr>
        <w:rPr>
          <w:rFonts w:ascii="Ericsson Hilda" w:hAnsi="Ericsson Hilda"/>
          <w:sz w:val="20"/>
          <w:szCs w:val="20"/>
          <w:lang w:val="en-US"/>
        </w:rPr>
      </w:pPr>
    </w:p>
    <w:p w14:paraId="495A251C" w14:textId="27A93B32" w:rsidR="00BA6EFB" w:rsidRDefault="00BA6EFB" w:rsidP="00A00AE1">
      <w:pPr>
        <w:rPr>
          <w:rFonts w:ascii="Arial" w:hAnsi="Arial" w:cs="Arial"/>
          <w:sz w:val="20"/>
          <w:szCs w:val="20"/>
        </w:rPr>
      </w:pPr>
      <w:r>
        <w:rPr>
          <w:rFonts w:ascii="Arial" w:hAnsi="Arial" w:cs="Arial"/>
          <w:sz w:val="20"/>
          <w:szCs w:val="20"/>
        </w:rPr>
        <w:t>A UE can be configured with Rel-18 INACTIVE eDRX if it support</w:t>
      </w:r>
      <w:r w:rsidR="00565D7D">
        <w:rPr>
          <w:rFonts w:ascii="Arial" w:hAnsi="Arial" w:cs="Arial"/>
          <w:sz w:val="20"/>
          <w:szCs w:val="20"/>
          <w:lang w:val="en-US"/>
        </w:rPr>
        <w:t>s</w:t>
      </w:r>
      <w:r>
        <w:rPr>
          <w:rFonts w:ascii="Arial" w:hAnsi="Arial" w:cs="Arial"/>
          <w:sz w:val="20"/>
          <w:szCs w:val="20"/>
        </w:rPr>
        <w:t xml:space="preserve"> Rel-18 enhanced INACTIVE eDRX cycle and the cell </w:t>
      </w:r>
      <w:r w:rsidR="00673D9F">
        <w:rPr>
          <w:rFonts w:ascii="Arial" w:hAnsi="Arial" w:cs="Arial"/>
          <w:sz w:val="20"/>
          <w:szCs w:val="20"/>
          <w:lang w:val="en-US"/>
        </w:rPr>
        <w:t>allows</w:t>
      </w:r>
      <w:r>
        <w:rPr>
          <w:rFonts w:ascii="Arial" w:hAnsi="Arial" w:cs="Arial"/>
          <w:sz w:val="20"/>
          <w:szCs w:val="20"/>
        </w:rPr>
        <w:t xml:space="preserve"> Rel-18 INACTIVE eDRX</w:t>
      </w:r>
      <w:r w:rsidR="00673D9F">
        <w:rPr>
          <w:rFonts w:ascii="Arial" w:hAnsi="Arial" w:cs="Arial"/>
          <w:sz w:val="20"/>
          <w:szCs w:val="20"/>
          <w:lang w:val="en-US"/>
        </w:rPr>
        <w:t xml:space="preserve"> UEs to camp on</w:t>
      </w:r>
      <w:r>
        <w:rPr>
          <w:rFonts w:ascii="Arial" w:hAnsi="Arial" w:cs="Arial"/>
          <w:sz w:val="20"/>
          <w:szCs w:val="20"/>
        </w:rPr>
        <w:t xml:space="preserve">. Based on the above agreements it is not necessary for a UE to support Rel-17 INACTIVE eDRX to be configured with Rel-18 eDRX i.e., a UE </w:t>
      </w:r>
      <w:r w:rsidR="008E363C">
        <w:rPr>
          <w:rFonts w:ascii="Arial" w:hAnsi="Arial" w:cs="Arial"/>
          <w:sz w:val="20"/>
          <w:szCs w:val="20"/>
          <w:lang w:val="en-US"/>
        </w:rPr>
        <w:t xml:space="preserve">that supports </w:t>
      </w:r>
      <w:r>
        <w:rPr>
          <w:rFonts w:ascii="Arial" w:hAnsi="Arial" w:cs="Arial"/>
          <w:sz w:val="20"/>
          <w:szCs w:val="20"/>
        </w:rPr>
        <w:t xml:space="preserve">only Rel-18 </w:t>
      </w:r>
      <w:r w:rsidR="00D721F9">
        <w:rPr>
          <w:rFonts w:ascii="Arial" w:hAnsi="Arial" w:cs="Arial"/>
          <w:sz w:val="20"/>
          <w:szCs w:val="20"/>
          <w:lang w:val="en-US"/>
        </w:rPr>
        <w:t xml:space="preserve">INACTIVE eDRX provided that </w:t>
      </w:r>
      <w:r w:rsidR="00385FCF">
        <w:rPr>
          <w:rFonts w:ascii="Arial" w:hAnsi="Arial" w:cs="Arial"/>
          <w:sz w:val="20"/>
          <w:szCs w:val="20"/>
          <w:lang w:val="en-US"/>
        </w:rPr>
        <w:t>it is configured with</w:t>
      </w:r>
      <w:r>
        <w:rPr>
          <w:rFonts w:ascii="Arial" w:hAnsi="Arial" w:cs="Arial"/>
          <w:sz w:val="20"/>
          <w:szCs w:val="20"/>
        </w:rPr>
        <w:t xml:space="preserve"> IDLE eDRX values </w:t>
      </w:r>
      <w:r w:rsidR="003C114D">
        <w:rPr>
          <w:rFonts w:ascii="Arial" w:hAnsi="Arial" w:cs="Arial"/>
          <w:sz w:val="20"/>
          <w:szCs w:val="20"/>
        </w:rPr>
        <w:t xml:space="preserve">larger </w:t>
      </w:r>
      <w:r>
        <w:rPr>
          <w:rFonts w:ascii="Arial" w:hAnsi="Arial" w:cs="Arial"/>
          <w:sz w:val="20"/>
          <w:szCs w:val="20"/>
        </w:rPr>
        <w:t xml:space="preserve">than the INACTIVE eDRX values. </w:t>
      </w:r>
    </w:p>
    <w:p w14:paraId="6E741A71" w14:textId="7727459A" w:rsidR="001477DC" w:rsidRDefault="001477DC" w:rsidP="00A00AE1">
      <w:pPr>
        <w:rPr>
          <w:rFonts w:ascii="Arial" w:hAnsi="Arial" w:cs="Arial"/>
          <w:sz w:val="20"/>
          <w:szCs w:val="20"/>
        </w:rPr>
      </w:pPr>
    </w:p>
    <w:p w14:paraId="57930412" w14:textId="77777777" w:rsidR="001477DC" w:rsidRDefault="001477DC" w:rsidP="001477DC">
      <w:pPr>
        <w:rPr>
          <w:rFonts w:ascii="Arial" w:hAnsi="Arial" w:cs="Arial"/>
          <w:sz w:val="20"/>
          <w:szCs w:val="20"/>
        </w:rPr>
      </w:pPr>
      <w:r>
        <w:rPr>
          <w:rFonts w:ascii="Arial" w:hAnsi="Arial" w:cs="Arial"/>
          <w:sz w:val="20"/>
          <w:szCs w:val="20"/>
        </w:rPr>
        <w:t xml:space="preserve">Furthermore, as per earlier RAN2 agreements some invalid </w:t>
      </w:r>
      <w:r w:rsidRPr="001477DC">
        <w:rPr>
          <w:rFonts w:ascii="Arial" w:hAnsi="Arial" w:cs="Arial"/>
          <w:sz w:val="20"/>
          <w:szCs w:val="20"/>
        </w:rPr>
        <w:t xml:space="preserve">cases are </w:t>
      </w:r>
      <w:r>
        <w:rPr>
          <w:rFonts w:ascii="Arial" w:hAnsi="Arial" w:cs="Arial"/>
          <w:sz w:val="20"/>
          <w:szCs w:val="20"/>
        </w:rPr>
        <w:t>identified as follows</w:t>
      </w:r>
      <w:r w:rsidRPr="001477DC">
        <w:rPr>
          <w:rFonts w:ascii="Arial" w:hAnsi="Arial" w:cs="Arial"/>
          <w:sz w:val="20"/>
          <w:szCs w:val="20"/>
        </w:rPr>
        <w:t>:</w:t>
      </w:r>
    </w:p>
    <w:p w14:paraId="3E1002B4" w14:textId="77777777" w:rsidR="001477DC" w:rsidRDefault="001477DC" w:rsidP="001477DC">
      <w:pPr>
        <w:rPr>
          <w:rFonts w:ascii="Arial" w:hAnsi="Arial" w:cs="Arial"/>
          <w:sz w:val="20"/>
          <w:szCs w:val="20"/>
        </w:rPr>
      </w:pPr>
    </w:p>
    <w:p w14:paraId="074476E8" w14:textId="77777777" w:rsidR="001477DC" w:rsidRDefault="001477DC" w:rsidP="001477DC">
      <w:pPr>
        <w:ind w:left="284"/>
        <w:rPr>
          <w:rFonts w:ascii="Times New Roman" w:eastAsia="MS Mincho" w:hAnsi="Times New Roman" w:cs="Times New Roman"/>
          <w:sz w:val="20"/>
          <w:szCs w:val="20"/>
          <w:lang w:val="en-GB" w:eastAsia="ko-KR"/>
        </w:rPr>
      </w:pPr>
      <w:r w:rsidRPr="00B83B87">
        <w:rPr>
          <w:rFonts w:ascii="Times New Roman" w:eastAsia="MS Mincho" w:hAnsi="Times New Roman" w:cs="Times New Roman"/>
          <w:sz w:val="20"/>
          <w:szCs w:val="20"/>
          <w:lang w:val="en-GB" w:eastAsia="ko-KR"/>
        </w:rPr>
        <w:t>“</w:t>
      </w:r>
    </w:p>
    <w:p w14:paraId="689248A4" w14:textId="77777777" w:rsidR="001477DC" w:rsidRPr="00BA6EFB" w:rsidRDefault="001477DC" w:rsidP="001477DC">
      <w:pPr>
        <w:pStyle w:val="ListParagraph"/>
        <w:numPr>
          <w:ilvl w:val="0"/>
          <w:numId w:val="39"/>
        </w:numPr>
        <w:ind w:left="851" w:hanging="284"/>
        <w:rPr>
          <w:rFonts w:ascii="Times New Roman" w:eastAsia="MS Mincho" w:hAnsi="Times New Roman" w:cs="Times New Roman"/>
          <w:sz w:val="20"/>
          <w:szCs w:val="20"/>
          <w:lang w:val="en-GB" w:eastAsia="ko-KR"/>
        </w:rPr>
      </w:pPr>
      <w:r w:rsidRPr="00BA6EFB">
        <w:rPr>
          <w:rFonts w:ascii="Times New Roman" w:eastAsia="MS Mincho" w:hAnsi="Times New Roman" w:cs="Times New Roman"/>
          <w:sz w:val="20"/>
          <w:szCs w:val="20"/>
          <w:lang w:val="en-GB" w:eastAsia="ko-KR"/>
        </w:rPr>
        <w:t>Case 1: UE is configured with a Rel-18 enhanced INACTIVE eDRX cycle but not configured with the IDLE eDRX cycle.</w:t>
      </w:r>
    </w:p>
    <w:p w14:paraId="4EF9BBC8" w14:textId="77777777" w:rsidR="001477DC" w:rsidRDefault="001477DC" w:rsidP="001477DC">
      <w:pPr>
        <w:pStyle w:val="ListParagraph"/>
        <w:numPr>
          <w:ilvl w:val="0"/>
          <w:numId w:val="39"/>
        </w:numPr>
        <w:ind w:left="851" w:hanging="284"/>
        <w:rPr>
          <w:rFonts w:ascii="Times New Roman" w:eastAsia="MS Mincho" w:hAnsi="Times New Roman" w:cs="Times New Roman"/>
          <w:sz w:val="20"/>
          <w:szCs w:val="20"/>
          <w:lang w:val="en-GB" w:eastAsia="ko-KR"/>
        </w:rPr>
      </w:pPr>
      <w:r w:rsidRPr="00BA6EFB">
        <w:rPr>
          <w:rFonts w:ascii="Times New Roman" w:eastAsia="MS Mincho" w:hAnsi="Times New Roman" w:cs="Times New Roman"/>
          <w:sz w:val="20"/>
          <w:szCs w:val="20"/>
          <w:lang w:val="en-GB" w:eastAsia="ko-KR"/>
        </w:rPr>
        <w:t>Case 2: UE is configured with a Rel-18 enhanced INACTIVE eDRX cycle longer than the IDLE eDRX cycle.</w:t>
      </w:r>
    </w:p>
    <w:p w14:paraId="5DA5B954" w14:textId="77777777" w:rsidR="001477DC" w:rsidRPr="00B83B87" w:rsidRDefault="001477DC" w:rsidP="001477DC">
      <w:pPr>
        <w:ind w:left="284"/>
        <w:rPr>
          <w:rFonts w:ascii="Times New Roman" w:eastAsia="MS Mincho" w:hAnsi="Times New Roman" w:cs="Times New Roman"/>
          <w:sz w:val="20"/>
          <w:szCs w:val="20"/>
          <w:lang w:val="en-GB" w:eastAsia="ko-KR"/>
        </w:rPr>
      </w:pPr>
      <w:r w:rsidRPr="00B83B87">
        <w:rPr>
          <w:rFonts w:ascii="Times New Roman" w:eastAsia="MS Mincho" w:hAnsi="Times New Roman" w:cs="Times New Roman"/>
          <w:sz w:val="20"/>
          <w:szCs w:val="20"/>
          <w:lang w:val="en-GB" w:eastAsia="ko-KR"/>
        </w:rPr>
        <w:t>”</w:t>
      </w:r>
    </w:p>
    <w:p w14:paraId="74755037" w14:textId="77777777" w:rsidR="0069263A" w:rsidRPr="00966402" w:rsidRDefault="0069263A" w:rsidP="0069263A">
      <w:pPr>
        <w:rPr>
          <w:rFonts w:ascii="Arial" w:eastAsia="Times New Roman" w:hAnsi="Arial" w:cs="Times New Roman"/>
          <w:b/>
          <w:sz w:val="20"/>
          <w:szCs w:val="24"/>
          <w:lang w:eastAsia="ja-JP"/>
        </w:rPr>
      </w:pPr>
    </w:p>
    <w:p w14:paraId="539349C3" w14:textId="1360126E" w:rsidR="0069263A" w:rsidRPr="007E6CCE" w:rsidRDefault="0069263A" w:rsidP="0069263A">
      <w:pPr>
        <w:pStyle w:val="Observation"/>
        <w:ind w:left="1560" w:hanging="1560"/>
      </w:pPr>
      <w:bookmarkStart w:id="4" w:name="_Toc142585370"/>
      <w:r w:rsidRPr="0069263A">
        <w:rPr>
          <w:lang w:val="en-US"/>
        </w:rPr>
        <w:t>It is not possible for a UE to be configured with Rel-18 INACTIVE eDRX if it is not configured with an IDLE eDRX cycle larger than or equal to the value of INACTIVE eDRX cycle</w:t>
      </w:r>
      <w:r>
        <w:rPr>
          <w:szCs w:val="24"/>
        </w:rPr>
        <w:t>.</w:t>
      </w:r>
      <w:bookmarkEnd w:id="4"/>
    </w:p>
    <w:p w14:paraId="54819A60" w14:textId="77777777" w:rsidR="0069263A" w:rsidRDefault="0069263A" w:rsidP="0069263A">
      <w:pPr>
        <w:jc w:val="both"/>
        <w:rPr>
          <w:rFonts w:ascii="Arial" w:hAnsi="Arial" w:cs="Arial"/>
          <w:sz w:val="20"/>
          <w:szCs w:val="20"/>
        </w:rPr>
      </w:pPr>
    </w:p>
    <w:p w14:paraId="38A61C28" w14:textId="77777777" w:rsidR="001477DC" w:rsidRDefault="001477DC" w:rsidP="00A00AE1">
      <w:pPr>
        <w:rPr>
          <w:rFonts w:ascii="Arial" w:hAnsi="Arial" w:cs="Arial"/>
          <w:sz w:val="20"/>
          <w:szCs w:val="20"/>
        </w:rPr>
      </w:pPr>
    </w:p>
    <w:p w14:paraId="4EDFC82C" w14:textId="40E74EDF" w:rsidR="001933BD" w:rsidRPr="0003073D" w:rsidRDefault="008738BE" w:rsidP="001933BD">
      <w:pPr>
        <w:pStyle w:val="Heading1"/>
        <w:jc w:val="both"/>
        <w:rPr>
          <w:rFonts w:cs="Arial"/>
        </w:rPr>
      </w:pPr>
      <w:bookmarkStart w:id="5" w:name="Title"/>
      <w:bookmarkStart w:id="6" w:name="DocumentFor"/>
      <w:bookmarkStart w:id="7" w:name="_Hlk40295327"/>
      <w:bookmarkEnd w:id="5"/>
      <w:bookmarkEnd w:id="6"/>
      <w:bookmarkEnd w:id="7"/>
      <w:r>
        <w:rPr>
          <w:rFonts w:cs="Arial"/>
        </w:rPr>
        <w:t>4</w:t>
      </w:r>
      <w:r w:rsidR="001933BD" w:rsidRPr="0003073D">
        <w:rPr>
          <w:rFonts w:cs="Arial"/>
        </w:rPr>
        <w:tab/>
        <w:t>Conclusion</w:t>
      </w:r>
    </w:p>
    <w:p w14:paraId="368C3770" w14:textId="27E3F29D" w:rsidR="00C950E4" w:rsidRDefault="001933BD" w:rsidP="00600F59">
      <w:pPr>
        <w:pStyle w:val="BodyText"/>
        <w:rPr>
          <w:rFonts w:cs="Arial"/>
        </w:rPr>
      </w:pPr>
      <w:r w:rsidRPr="00D0218C">
        <w:rPr>
          <w:rFonts w:eastAsiaTheme="minorHAnsi"/>
        </w:rPr>
        <w:t xml:space="preserve">In this </w:t>
      </w:r>
      <w:r>
        <w:rPr>
          <w:rFonts w:eastAsiaTheme="minorHAnsi"/>
        </w:rPr>
        <w:t>contribution,</w:t>
      </w:r>
      <w:r w:rsidRPr="00D0218C">
        <w:rPr>
          <w:rFonts w:eastAsiaTheme="minorHAnsi"/>
        </w:rPr>
        <w:t xml:space="preserve"> we continue the discussion</w:t>
      </w:r>
      <w:r>
        <w:rPr>
          <w:rFonts w:eastAsiaTheme="minorHAnsi"/>
        </w:rPr>
        <w:t xml:space="preserve"> on the </w:t>
      </w:r>
      <w:r>
        <w:t xml:space="preserve">relevant details for </w:t>
      </w:r>
      <w:r w:rsidR="002E100A">
        <w:t>enhancements of e</w:t>
      </w:r>
      <w:r>
        <w:t>DRX</w:t>
      </w:r>
      <w:r>
        <w:rPr>
          <w:rFonts w:eastAsiaTheme="minorHAnsi"/>
        </w:rPr>
        <w:t>.</w:t>
      </w:r>
      <w:r>
        <w:rPr>
          <w:rFonts w:eastAsiaTheme="minorHAnsi" w:cs="Arial"/>
          <w:b/>
          <w:bCs/>
        </w:rPr>
        <w:t xml:space="preserve"> </w:t>
      </w:r>
      <w:r w:rsidRPr="0003073D">
        <w:rPr>
          <w:rFonts w:cs="Arial"/>
        </w:rPr>
        <w:t>Based on the discussion in the previous sections we</w:t>
      </w:r>
      <w:r w:rsidR="005B72B0">
        <w:rPr>
          <w:rFonts w:cs="Arial"/>
        </w:rPr>
        <w:t xml:space="preserve"> observe and</w:t>
      </w:r>
      <w:r w:rsidRPr="0003073D">
        <w:rPr>
          <w:rFonts w:cs="Arial"/>
        </w:rPr>
        <w:t xml:space="preserve"> propose the following:</w:t>
      </w:r>
    </w:p>
    <w:p w14:paraId="425FA8EB" w14:textId="77777777" w:rsidR="00600F59" w:rsidRPr="00030041" w:rsidRDefault="00600F59" w:rsidP="00600F59">
      <w:pPr>
        <w:pStyle w:val="BodyText"/>
        <w:rPr>
          <w:rFonts w:cs="Arial"/>
        </w:rPr>
      </w:pPr>
    </w:p>
    <w:p w14:paraId="1424AAA2" w14:textId="0BA5C34A" w:rsidR="00600F59" w:rsidRDefault="00600F59" w:rsidP="00600F59">
      <w:pPr>
        <w:pStyle w:val="TableofFigures"/>
        <w:tabs>
          <w:tab w:val="right" w:leader="dot" w:pos="9016"/>
        </w:tabs>
        <w:jc w:val="both"/>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142585369" w:history="1">
        <w:r w:rsidRPr="00C514D4">
          <w:rPr>
            <w:rStyle w:val="Hyperlink"/>
            <w:noProof/>
          </w:rPr>
          <w:t>Observation 1</w:t>
        </w:r>
        <w:r>
          <w:rPr>
            <w:rFonts w:asciiTheme="minorHAnsi" w:eastAsiaTheme="minorEastAsia" w:hAnsiTheme="minorHAnsi" w:cstheme="minorBidi"/>
            <w:b w:val="0"/>
            <w:noProof/>
            <w:sz w:val="22"/>
            <w:szCs w:val="22"/>
          </w:rPr>
          <w:tab/>
        </w:r>
        <w:r w:rsidRPr="00C514D4">
          <w:rPr>
            <w:rStyle w:val="Hyperlink"/>
            <w:noProof/>
          </w:rPr>
          <w:t>With a possibility of such PTW configuration, a UE can be paged within the RAN PTW and CN PTW, within CN PTW when it is outside RAN PTW, or within RAN PTW when it is outside CN PTW.</w:t>
        </w:r>
      </w:hyperlink>
    </w:p>
    <w:p w14:paraId="5DB2BEB0" w14:textId="7FAF82E1" w:rsidR="00600F59" w:rsidRDefault="00FC6915" w:rsidP="00600F59">
      <w:pPr>
        <w:pStyle w:val="TableofFigures"/>
        <w:tabs>
          <w:tab w:val="right" w:leader="dot" w:pos="9016"/>
        </w:tabs>
        <w:jc w:val="both"/>
        <w:rPr>
          <w:rFonts w:asciiTheme="minorHAnsi" w:eastAsiaTheme="minorEastAsia" w:hAnsiTheme="minorHAnsi" w:cstheme="minorBidi"/>
          <w:b w:val="0"/>
          <w:noProof/>
          <w:sz w:val="22"/>
          <w:szCs w:val="22"/>
        </w:rPr>
      </w:pPr>
      <w:hyperlink w:anchor="_Toc142585370" w:history="1">
        <w:r w:rsidR="00600F59" w:rsidRPr="00C514D4">
          <w:rPr>
            <w:rStyle w:val="Hyperlink"/>
            <w:noProof/>
          </w:rPr>
          <w:t>Observation 2</w:t>
        </w:r>
        <w:r w:rsidR="00600F59">
          <w:rPr>
            <w:rFonts w:asciiTheme="minorHAnsi" w:eastAsiaTheme="minorEastAsia" w:hAnsiTheme="minorHAnsi" w:cstheme="minorBidi"/>
            <w:b w:val="0"/>
            <w:noProof/>
            <w:sz w:val="22"/>
            <w:szCs w:val="22"/>
          </w:rPr>
          <w:tab/>
        </w:r>
        <w:r w:rsidR="00600F59" w:rsidRPr="00C514D4">
          <w:rPr>
            <w:rStyle w:val="Hyperlink"/>
            <w:noProof/>
          </w:rPr>
          <w:t>It is not possible for a UE to be configured with Rel-18 INACTIVE eDRX if it is not configured with an IDLE eDRX cycle larger than or equal to the value of INACTIVE eDRX cycle.</w:t>
        </w:r>
      </w:hyperlink>
    </w:p>
    <w:p w14:paraId="657E8161" w14:textId="64B9C423" w:rsidR="000E2154" w:rsidRDefault="00600F59" w:rsidP="00600F59">
      <w:pPr>
        <w:pStyle w:val="BodyText"/>
      </w:pPr>
      <w:r>
        <w:rPr>
          <w:b/>
          <w:bCs/>
        </w:rPr>
        <w:fldChar w:fldCharType="end"/>
      </w:r>
    </w:p>
    <w:p w14:paraId="6C0A4846" w14:textId="0DD5122C" w:rsidR="003D07E8" w:rsidRDefault="000E2154" w:rsidP="00600F59">
      <w:pPr>
        <w:pStyle w:val="TableofFigures"/>
        <w:tabs>
          <w:tab w:val="right" w:leader="dot" w:pos="9016"/>
        </w:tabs>
        <w:jc w:val="both"/>
        <w:rPr>
          <w:rFonts w:asciiTheme="minorHAnsi" w:eastAsiaTheme="minorEastAsia" w:hAnsiTheme="minorHAnsi" w:cstheme="minorBidi"/>
          <w:b w:val="0"/>
          <w:noProof/>
          <w:sz w:val="22"/>
          <w:szCs w:val="22"/>
        </w:rPr>
      </w:pPr>
      <w:r w:rsidRPr="008E3596">
        <w:rPr>
          <w:b w:val="0"/>
          <w:bCs/>
        </w:rPr>
        <w:fldChar w:fldCharType="begin"/>
      </w:r>
      <w:r>
        <w:rPr>
          <w:b w:val="0"/>
          <w:bCs/>
        </w:rPr>
        <w:instrText xml:space="preserve"> TOC \n \h \z \t "Proposal" \c </w:instrText>
      </w:r>
      <w:r w:rsidRPr="008E3596">
        <w:rPr>
          <w:b w:val="0"/>
          <w:bCs/>
        </w:rPr>
        <w:fldChar w:fldCharType="separate"/>
      </w:r>
      <w:hyperlink w:anchor="_Toc142585318" w:history="1">
        <w:r w:rsidR="003D07E8" w:rsidRPr="00ED6D90">
          <w:rPr>
            <w:rStyle w:val="Hyperlink"/>
            <w:rFonts w:cs="Arial"/>
            <w:noProof/>
          </w:rPr>
          <w:t>Proposal 1</w:t>
        </w:r>
        <w:r w:rsidR="003D07E8">
          <w:rPr>
            <w:rFonts w:asciiTheme="minorHAnsi" w:eastAsiaTheme="minorEastAsia" w:hAnsiTheme="minorHAnsi" w:cstheme="minorBidi"/>
            <w:b w:val="0"/>
            <w:noProof/>
            <w:sz w:val="22"/>
            <w:szCs w:val="22"/>
          </w:rPr>
          <w:tab/>
        </w:r>
        <w:r w:rsidR="003D07E8" w:rsidRPr="00ED6D90">
          <w:rPr>
            <w:rStyle w:val="Hyperlink"/>
            <w:rFonts w:eastAsia="MS Gothic"/>
            <w:iCs/>
            <w:noProof/>
            <w:lang w:eastAsia="ja-JP"/>
          </w:rPr>
          <w:t>It should be possible for RAN to configure the length of RAN PTW with a value smaller, equal to, or larger than the length of CN PTW</w:t>
        </w:r>
        <w:r w:rsidR="003D07E8" w:rsidRPr="00ED6D90">
          <w:rPr>
            <w:rStyle w:val="Hyperlink"/>
            <w:rFonts w:cs="Arial"/>
            <w:noProof/>
          </w:rPr>
          <w:t>.</w:t>
        </w:r>
      </w:hyperlink>
    </w:p>
    <w:p w14:paraId="618391B3" w14:textId="68BDABAE" w:rsidR="003D07E8" w:rsidRDefault="00FC6915" w:rsidP="00600F59">
      <w:pPr>
        <w:pStyle w:val="TableofFigures"/>
        <w:tabs>
          <w:tab w:val="right" w:leader="dot" w:pos="9016"/>
        </w:tabs>
        <w:jc w:val="both"/>
        <w:rPr>
          <w:rFonts w:asciiTheme="minorHAnsi" w:eastAsiaTheme="minorEastAsia" w:hAnsiTheme="minorHAnsi" w:cstheme="minorBidi"/>
          <w:b w:val="0"/>
          <w:noProof/>
          <w:sz w:val="22"/>
          <w:szCs w:val="22"/>
        </w:rPr>
      </w:pPr>
      <w:hyperlink w:anchor="_Toc142585319" w:history="1">
        <w:r w:rsidR="003D07E8" w:rsidRPr="00ED6D90">
          <w:rPr>
            <w:rStyle w:val="Hyperlink"/>
            <w:rFonts w:cs="Arial"/>
            <w:noProof/>
          </w:rPr>
          <w:t>Proposal 2</w:t>
        </w:r>
        <w:r w:rsidR="003D07E8">
          <w:rPr>
            <w:rFonts w:asciiTheme="minorHAnsi" w:eastAsiaTheme="minorEastAsia" w:hAnsiTheme="minorHAnsi" w:cstheme="minorBidi"/>
            <w:b w:val="0"/>
            <w:noProof/>
            <w:sz w:val="22"/>
            <w:szCs w:val="22"/>
          </w:rPr>
          <w:tab/>
        </w:r>
        <w:r w:rsidR="003D07E8" w:rsidRPr="00ED6D90">
          <w:rPr>
            <w:rStyle w:val="Hyperlink"/>
            <w:rFonts w:eastAsia="MS Gothic"/>
            <w:noProof/>
            <w:lang w:eastAsia="ja-JP"/>
          </w:rPr>
          <w:t>RAN informs CN about the RAN PTW length of a UE configured with extended eDRX cycles in RRC_INACTIVE.</w:t>
        </w:r>
      </w:hyperlink>
    </w:p>
    <w:p w14:paraId="07FA342D" w14:textId="5DE6EB61" w:rsidR="00716DED" w:rsidRPr="00600F59" w:rsidRDefault="000E2154" w:rsidP="00600F59">
      <w:pPr>
        <w:jc w:val="both"/>
        <w:rPr>
          <w:lang w:eastAsia="ja-JP"/>
        </w:rPr>
      </w:pPr>
      <w:r w:rsidRPr="008E3596">
        <w:rPr>
          <w:b/>
          <w:bCs/>
          <w:lang w:eastAsia="zh-CN"/>
        </w:rPr>
        <w:fldChar w:fldCharType="end"/>
      </w:r>
    </w:p>
    <w:p w14:paraId="68CBC9C7" w14:textId="77777777" w:rsidR="00533002" w:rsidRDefault="00533002">
      <w:pPr>
        <w:spacing w:after="160" w:line="259" w:lineRule="auto"/>
        <w:rPr>
          <w:rFonts w:ascii="Arial" w:eastAsia="Times New Roman" w:hAnsi="Arial" w:cs="Arial"/>
          <w:sz w:val="36"/>
          <w:szCs w:val="20"/>
          <w:lang w:val="en-GB" w:eastAsia="ja-JP"/>
        </w:rPr>
      </w:pPr>
      <w:r>
        <w:rPr>
          <w:rFonts w:cs="Arial"/>
        </w:rPr>
        <w:br w:type="page"/>
      </w:r>
    </w:p>
    <w:p w14:paraId="58A497FD" w14:textId="783372E6" w:rsidR="001933BD" w:rsidRPr="0003073D" w:rsidRDefault="001933BD" w:rsidP="001933BD">
      <w:pPr>
        <w:pStyle w:val="Heading1"/>
        <w:jc w:val="both"/>
        <w:rPr>
          <w:rFonts w:cs="Arial"/>
        </w:rPr>
      </w:pPr>
      <w:r w:rsidRPr="0003073D">
        <w:rPr>
          <w:rFonts w:cs="Arial"/>
        </w:rPr>
        <w:lastRenderedPageBreak/>
        <w:t>References</w:t>
      </w:r>
    </w:p>
    <w:bookmarkStart w:id="8" w:name="_Ref21087754"/>
    <w:bookmarkStart w:id="9" w:name="_Ref7703255"/>
    <w:bookmarkStart w:id="10" w:name="_Ref16540476"/>
    <w:bookmarkStart w:id="11" w:name="_Hlk4353930"/>
    <w:p w14:paraId="3D67A51E" w14:textId="70A2C4CA" w:rsidR="001933BD" w:rsidRDefault="001933BD" w:rsidP="001933BD">
      <w:pPr>
        <w:pStyle w:val="Reference"/>
        <w:spacing w:line="259" w:lineRule="auto"/>
        <w:rPr>
          <w:rFonts w:cs="Arial"/>
        </w:rPr>
      </w:pPr>
      <w:r w:rsidRPr="0003073D">
        <w:rPr>
          <w:rFonts w:cs="Arial"/>
        </w:rPr>
        <w:fldChar w:fldCharType="begin"/>
      </w:r>
      <w:r w:rsidRPr="0003073D">
        <w:rPr>
          <w:rFonts w:cs="Arial"/>
        </w:rPr>
        <w:instrText>HYPERLINK "https://www.3gpp.org/ftp/tsg_ran/TSG_RAN/TSGR_92e/Docs/RP-211574.zip"</w:instrText>
      </w:r>
      <w:r w:rsidRPr="0003073D">
        <w:rPr>
          <w:rFonts w:cs="Arial"/>
        </w:rPr>
      </w:r>
      <w:r w:rsidRPr="0003073D">
        <w:rPr>
          <w:rFonts w:cs="Arial"/>
        </w:rPr>
        <w:fldChar w:fldCharType="separate"/>
      </w:r>
      <w:r w:rsidRPr="0003073D">
        <w:rPr>
          <w:rFonts w:eastAsia="Yu Mincho" w:cs="Arial"/>
          <w:color w:val="0000FF"/>
          <w:u w:val="single"/>
          <w:lang w:val="en-GB"/>
        </w:rPr>
        <w:t>RP-211574</w:t>
      </w:r>
      <w:r w:rsidRPr="0003073D">
        <w:rPr>
          <w:rFonts w:eastAsia="Yu Mincho" w:cs="Arial"/>
          <w:color w:val="0000FF"/>
          <w:u w:val="single"/>
          <w:lang w:val="en-GB"/>
        </w:rPr>
        <w:fldChar w:fldCharType="end"/>
      </w:r>
      <w:r w:rsidRPr="0003073D">
        <w:rPr>
          <w:rFonts w:cs="Arial"/>
          <w:lang w:eastAsia="en-US"/>
        </w:rPr>
        <w:t>,</w:t>
      </w:r>
      <w:r w:rsidRPr="0003073D">
        <w:rPr>
          <w:rFonts w:cs="Arial"/>
        </w:rPr>
        <w:t xml:space="preserve"> “Revised WID on support of reduced capability NR devices”, Nokia, Ericsson, RAN#92e, Online, June 2021.</w:t>
      </w:r>
      <w:bookmarkEnd w:id="8"/>
      <w:bookmarkEnd w:id="9"/>
      <w:bookmarkEnd w:id="10"/>
      <w:bookmarkEnd w:id="11"/>
    </w:p>
    <w:p w14:paraId="2F647BD6" w14:textId="1B5B4FF0" w:rsidR="003370A2" w:rsidRPr="0003073D" w:rsidRDefault="00FC6915" w:rsidP="001933BD">
      <w:pPr>
        <w:pStyle w:val="Reference"/>
        <w:spacing w:line="259" w:lineRule="auto"/>
        <w:rPr>
          <w:rFonts w:cs="Arial"/>
        </w:rPr>
      </w:pPr>
      <w:hyperlink r:id="rId13" w:history="1">
        <w:r w:rsidR="003370A2" w:rsidRPr="000C3FFB">
          <w:rPr>
            <w:rStyle w:val="Hyperlink"/>
            <w:rFonts w:eastAsia="Yu Mincho"/>
          </w:rPr>
          <w:t>RP-223544</w:t>
        </w:r>
      </w:hyperlink>
      <w:r w:rsidR="003370A2">
        <w:rPr>
          <w:rStyle w:val="Hyperlink"/>
          <w:rFonts w:eastAsia="Yu Mincho"/>
        </w:rPr>
        <w:t>,</w:t>
      </w:r>
      <w:r w:rsidR="003370A2" w:rsidRPr="003370A2">
        <w:rPr>
          <w:rStyle w:val="Hyperlink"/>
          <w:rFonts w:eastAsia="Yu Mincho"/>
          <w:u w:val="none"/>
        </w:rPr>
        <w:t xml:space="preserve"> </w:t>
      </w:r>
      <w:r w:rsidR="003370A2" w:rsidRPr="0003073D">
        <w:rPr>
          <w:rFonts w:cs="Arial"/>
        </w:rPr>
        <w:t>“</w:t>
      </w:r>
      <w:r w:rsidR="003370A2" w:rsidRPr="003370A2">
        <w:rPr>
          <w:rFonts w:cs="Arial"/>
        </w:rPr>
        <w:t>Revised WID on Enhanced support of reduced capability NR devices</w:t>
      </w:r>
      <w:r w:rsidR="003370A2" w:rsidRPr="0003073D">
        <w:rPr>
          <w:rFonts w:cs="Arial"/>
        </w:rPr>
        <w:t>”, RAN#9</w:t>
      </w:r>
      <w:r w:rsidR="003370A2">
        <w:rPr>
          <w:rFonts w:cs="Arial"/>
        </w:rPr>
        <w:t>8</w:t>
      </w:r>
      <w:r w:rsidR="003370A2" w:rsidRPr="0003073D">
        <w:rPr>
          <w:rFonts w:cs="Arial"/>
        </w:rPr>
        <w:t xml:space="preserve">e, Online, </w:t>
      </w:r>
      <w:r w:rsidR="003370A2">
        <w:rPr>
          <w:rFonts w:cs="Arial"/>
        </w:rPr>
        <w:t>December</w:t>
      </w:r>
      <w:r w:rsidR="003370A2" w:rsidRPr="0003073D">
        <w:rPr>
          <w:rFonts w:cs="Arial"/>
        </w:rPr>
        <w:t xml:space="preserve"> 202</w:t>
      </w:r>
      <w:r w:rsidR="003370A2">
        <w:rPr>
          <w:rFonts w:cs="Arial"/>
        </w:rPr>
        <w:t>2</w:t>
      </w:r>
      <w:r w:rsidR="003370A2" w:rsidRPr="0003073D">
        <w:rPr>
          <w:rFonts w:cs="Arial"/>
        </w:rPr>
        <w:t>.</w:t>
      </w:r>
    </w:p>
    <w:bookmarkStart w:id="12" w:name="_Ref68091169"/>
    <w:p w14:paraId="4C36526E" w14:textId="77777777" w:rsidR="001933BD" w:rsidRPr="0003073D" w:rsidRDefault="001933BD" w:rsidP="001933BD">
      <w:pPr>
        <w:pStyle w:val="Reference"/>
        <w:spacing w:line="259" w:lineRule="auto"/>
        <w:rPr>
          <w:rFonts w:cs="Arial"/>
        </w:rPr>
      </w:pPr>
      <w:r w:rsidRPr="0003073D">
        <w:rPr>
          <w:rFonts w:cs="Arial"/>
        </w:rPr>
        <w:fldChar w:fldCharType="begin"/>
      </w:r>
      <w:r w:rsidRPr="0003073D">
        <w:rPr>
          <w:rFonts w:cs="Arial"/>
        </w:rPr>
        <w:instrText xml:space="preserve"> HYPERLINK "https://www.3gpp.org/ftp/Specs/archive/38_series/38.875/38875-h00.zip" </w:instrText>
      </w:r>
      <w:r w:rsidRPr="0003073D">
        <w:rPr>
          <w:rFonts w:cs="Arial"/>
        </w:rPr>
      </w:r>
      <w:r w:rsidRPr="0003073D">
        <w:rPr>
          <w:rFonts w:cs="Arial"/>
        </w:rPr>
        <w:fldChar w:fldCharType="separate"/>
      </w:r>
      <w:r w:rsidRPr="0003073D">
        <w:rPr>
          <w:rStyle w:val="Hyperlink"/>
          <w:rFonts w:cs="Arial"/>
        </w:rPr>
        <w:t>TR 38.875 V17.0.0</w:t>
      </w:r>
      <w:r w:rsidRPr="0003073D">
        <w:rPr>
          <w:rFonts w:cs="Arial"/>
        </w:rPr>
        <w:fldChar w:fldCharType="end"/>
      </w:r>
      <w:r w:rsidRPr="0003073D">
        <w:rPr>
          <w:rFonts w:cs="Arial"/>
        </w:rPr>
        <w:t>, “Study on support of reduced capability NR devices”, V17.0.0 (2021-03).</w:t>
      </w:r>
      <w:bookmarkEnd w:id="12"/>
    </w:p>
    <w:p w14:paraId="5B051A54" w14:textId="77777777" w:rsidR="001933BD" w:rsidRPr="0003073D" w:rsidRDefault="001933BD" w:rsidP="001933BD">
      <w:pPr>
        <w:pStyle w:val="Reference"/>
        <w:rPr>
          <w:rFonts w:cs="Arial"/>
          <w:szCs w:val="20"/>
        </w:rPr>
      </w:pPr>
      <w:r w:rsidRPr="0003073D">
        <w:rPr>
          <w:rFonts w:cs="Arial"/>
          <w:szCs w:val="20"/>
        </w:rPr>
        <w:t xml:space="preserve">TS 38.300, </w:t>
      </w:r>
      <w:r w:rsidRPr="0003073D">
        <w:rPr>
          <w:rFonts w:cs="Arial"/>
          <w:color w:val="000000"/>
          <w:szCs w:val="20"/>
        </w:rPr>
        <w:t>“NR and NG-RAN Overall description; Stage-2”, V16.5.0 (2021-03).</w:t>
      </w:r>
    </w:p>
    <w:p w14:paraId="6DCFF695" w14:textId="77777777" w:rsidR="001933BD" w:rsidRPr="0003073D" w:rsidRDefault="001933BD" w:rsidP="001933BD">
      <w:pPr>
        <w:pStyle w:val="Reference"/>
        <w:rPr>
          <w:rFonts w:cs="Arial"/>
          <w:szCs w:val="20"/>
        </w:rPr>
      </w:pPr>
      <w:r w:rsidRPr="0003073D">
        <w:rPr>
          <w:rFonts w:cs="Arial"/>
          <w:szCs w:val="20"/>
        </w:rPr>
        <w:t>TS 36.304, “</w:t>
      </w:r>
      <w:r w:rsidRPr="0003073D">
        <w:rPr>
          <w:rFonts w:cs="Arial"/>
          <w:color w:val="000000"/>
          <w:szCs w:val="20"/>
        </w:rPr>
        <w:t>Evolved Universal Terrestrial Radio Access (E-UTRA); User Equipment (UE) procedures in idle mode”</w:t>
      </w:r>
      <w:r w:rsidRPr="0003073D">
        <w:rPr>
          <w:rFonts w:cs="Arial"/>
          <w:szCs w:val="20"/>
        </w:rPr>
        <w:t>, V16.5.0 (2021-07).</w:t>
      </w:r>
    </w:p>
    <w:p w14:paraId="5E33ABD0" w14:textId="77777777" w:rsidR="001933BD" w:rsidRPr="0003073D" w:rsidRDefault="001933BD" w:rsidP="001933BD">
      <w:pPr>
        <w:pStyle w:val="Reference"/>
        <w:rPr>
          <w:rFonts w:cs="Arial"/>
          <w:szCs w:val="20"/>
        </w:rPr>
      </w:pPr>
      <w:bookmarkStart w:id="13" w:name="_Ref71551453"/>
      <w:r w:rsidRPr="0003073D">
        <w:rPr>
          <w:rFonts w:cs="Arial"/>
          <w:szCs w:val="20"/>
        </w:rPr>
        <w:t>TS 23.501</w:t>
      </w:r>
      <w:bookmarkEnd w:id="13"/>
      <w:r w:rsidRPr="0003073D">
        <w:rPr>
          <w:rFonts w:cs="Arial"/>
          <w:szCs w:val="20"/>
        </w:rPr>
        <w:t>, v16.8.0, “System architecture for the 5G system (5GS)”, 3GPP</w:t>
      </w:r>
    </w:p>
    <w:p w14:paraId="7F5323CC" w14:textId="77777777" w:rsidR="001933BD" w:rsidRPr="0003073D" w:rsidRDefault="001933BD" w:rsidP="001933BD">
      <w:pPr>
        <w:pStyle w:val="Reference"/>
        <w:rPr>
          <w:rFonts w:cs="Arial"/>
          <w:szCs w:val="20"/>
        </w:rPr>
      </w:pPr>
      <w:r w:rsidRPr="0003073D">
        <w:rPr>
          <w:rFonts w:cs="Arial"/>
          <w:szCs w:val="20"/>
        </w:rPr>
        <w:t>TS 23.003, v16.7.0, “Digital cellular telecommunications system (Phase 2+) (GSM)” 3GPP</w:t>
      </w:r>
    </w:p>
    <w:p w14:paraId="33915620" w14:textId="77777777" w:rsidR="001933BD" w:rsidRPr="0003073D" w:rsidRDefault="001933BD" w:rsidP="001933BD">
      <w:pPr>
        <w:pStyle w:val="Reference"/>
        <w:rPr>
          <w:rFonts w:cs="Arial"/>
        </w:rPr>
      </w:pPr>
      <w:r w:rsidRPr="0003073D">
        <w:rPr>
          <w:rFonts w:cs="Arial"/>
        </w:rPr>
        <w:t>TS 38.304, “</w:t>
      </w:r>
      <w:r w:rsidRPr="0003073D">
        <w:rPr>
          <w:rFonts w:cs="Arial"/>
          <w:szCs w:val="20"/>
        </w:rPr>
        <w:t>NR; User Equipment (UE) procedures in Idle mode and RRC Inactive state</w:t>
      </w:r>
      <w:r w:rsidRPr="0003073D">
        <w:rPr>
          <w:rFonts w:cs="Arial"/>
        </w:rPr>
        <w:t>” V16.5.0 (2021-06)</w:t>
      </w:r>
    </w:p>
    <w:p w14:paraId="69A1DDC4" w14:textId="77777777" w:rsidR="001933BD" w:rsidRPr="0003073D" w:rsidRDefault="001933BD" w:rsidP="001933BD">
      <w:pPr>
        <w:pStyle w:val="Reference"/>
        <w:rPr>
          <w:rFonts w:cs="Arial"/>
        </w:rPr>
      </w:pPr>
      <w:r w:rsidRPr="0003073D">
        <w:rPr>
          <w:rFonts w:cs="Arial"/>
        </w:rPr>
        <w:t>TS 38.331, “</w:t>
      </w:r>
      <w:proofErr w:type="gramStart"/>
      <w:r w:rsidRPr="0003073D">
        <w:rPr>
          <w:rFonts w:cs="Arial"/>
        </w:rPr>
        <w:t>NR;Radio</w:t>
      </w:r>
      <w:proofErr w:type="gramEnd"/>
      <w:r w:rsidRPr="0003073D">
        <w:rPr>
          <w:rFonts w:cs="Arial"/>
        </w:rPr>
        <w:t xml:space="preserve"> Resource Control (RRC) protocol specification” V16.5.0 (2021-06)</w:t>
      </w:r>
    </w:p>
    <w:p w14:paraId="01C5A7BC" w14:textId="77777777" w:rsidR="001933BD" w:rsidRPr="0003073D" w:rsidRDefault="001933BD" w:rsidP="001933BD">
      <w:pPr>
        <w:pStyle w:val="Reference"/>
        <w:rPr>
          <w:rFonts w:cs="Arial"/>
        </w:rPr>
      </w:pPr>
      <w:r w:rsidRPr="0003073D">
        <w:rPr>
          <w:rFonts w:cs="Arial"/>
        </w:rPr>
        <w:t>TS 38.213, “NR; Physical layer procedures for control” V16.6.0 (2021-06)</w:t>
      </w:r>
    </w:p>
    <w:p w14:paraId="16C0909F" w14:textId="77777777" w:rsidR="001933BD" w:rsidRPr="001C5ACE" w:rsidRDefault="001933BD" w:rsidP="001933BD">
      <w:pPr>
        <w:jc w:val="both"/>
        <w:rPr>
          <w:rFonts w:ascii="Arial" w:hAnsi="Arial" w:cs="Arial"/>
          <w:lang w:val="en-US"/>
        </w:rPr>
      </w:pPr>
    </w:p>
    <w:p w14:paraId="7478D583" w14:textId="77777777" w:rsidR="001933BD" w:rsidRPr="001F7820" w:rsidRDefault="001933BD" w:rsidP="001933BD">
      <w:pPr>
        <w:jc w:val="both"/>
        <w:rPr>
          <w:lang w:val="en-US"/>
        </w:rPr>
      </w:pPr>
    </w:p>
    <w:p w14:paraId="5AA40ACF" w14:textId="77777777" w:rsidR="001933BD" w:rsidRPr="00206EF3" w:rsidRDefault="001933BD" w:rsidP="001933BD">
      <w:pPr>
        <w:rPr>
          <w:lang w:val="en-US"/>
        </w:rPr>
      </w:pPr>
    </w:p>
    <w:p w14:paraId="5E5787A5" w14:textId="77777777" w:rsidR="00C62ED1" w:rsidRPr="001933BD" w:rsidRDefault="00C62ED1">
      <w:pPr>
        <w:rPr>
          <w:lang w:val="en-US"/>
        </w:rPr>
      </w:pPr>
    </w:p>
    <w:sectPr w:rsidR="00C62ED1" w:rsidRPr="001933B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A5EF5" w14:textId="77777777" w:rsidR="00C33E19" w:rsidRDefault="00C33E19" w:rsidP="005F366E">
      <w:r>
        <w:separator/>
      </w:r>
    </w:p>
  </w:endnote>
  <w:endnote w:type="continuationSeparator" w:id="0">
    <w:p w14:paraId="3572B5A9" w14:textId="77777777" w:rsidR="00C33E19" w:rsidRDefault="00C33E19" w:rsidP="005F366E">
      <w:r>
        <w:continuationSeparator/>
      </w:r>
    </w:p>
  </w:endnote>
  <w:endnote w:type="continuationNotice" w:id="1">
    <w:p w14:paraId="50D54DB0" w14:textId="77777777" w:rsidR="00C33E19" w:rsidRDefault="00C33E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114DC" w14:textId="77777777" w:rsidR="00C33E19" w:rsidRDefault="00C33E19" w:rsidP="005F366E">
      <w:r>
        <w:separator/>
      </w:r>
    </w:p>
  </w:footnote>
  <w:footnote w:type="continuationSeparator" w:id="0">
    <w:p w14:paraId="7CEFAB57" w14:textId="77777777" w:rsidR="00C33E19" w:rsidRDefault="00C33E19" w:rsidP="005F366E">
      <w:r>
        <w:continuationSeparator/>
      </w:r>
    </w:p>
  </w:footnote>
  <w:footnote w:type="continuationNotice" w:id="1">
    <w:p w14:paraId="6D07BA1A" w14:textId="77777777" w:rsidR="00C33E19" w:rsidRDefault="00C33E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06"/>
    <w:multiLevelType w:val="hybridMultilevel"/>
    <w:tmpl w:val="77CC5086"/>
    <w:lvl w:ilvl="0" w:tplc="302099D8">
      <w:start w:val="2"/>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233569"/>
    <w:multiLevelType w:val="hybridMultilevel"/>
    <w:tmpl w:val="D49AC022"/>
    <w:lvl w:ilvl="0" w:tplc="10000003">
      <w:start w:val="1"/>
      <w:numFmt w:val="bullet"/>
      <w:lvlText w:val="o"/>
      <w:lvlJc w:val="left"/>
      <w:pPr>
        <w:ind w:left="1287" w:hanging="360"/>
      </w:pPr>
      <w:rPr>
        <w:rFonts w:ascii="Courier New" w:hAnsi="Courier New" w:cs="Courier New" w:hint="default"/>
      </w:rPr>
    </w:lvl>
    <w:lvl w:ilvl="1" w:tplc="10000003" w:tentative="1">
      <w:start w:val="1"/>
      <w:numFmt w:val="bullet"/>
      <w:lvlText w:val="o"/>
      <w:lvlJc w:val="left"/>
      <w:pPr>
        <w:ind w:left="2007" w:hanging="360"/>
      </w:pPr>
      <w:rPr>
        <w:rFonts w:ascii="Courier New" w:hAnsi="Courier New" w:cs="Courier New" w:hint="default"/>
      </w:rPr>
    </w:lvl>
    <w:lvl w:ilvl="2" w:tplc="10000005" w:tentative="1">
      <w:start w:val="1"/>
      <w:numFmt w:val="bullet"/>
      <w:lvlText w:val=""/>
      <w:lvlJc w:val="left"/>
      <w:pPr>
        <w:ind w:left="2727" w:hanging="360"/>
      </w:pPr>
      <w:rPr>
        <w:rFonts w:ascii="Wingdings" w:hAnsi="Wingdings" w:hint="default"/>
      </w:rPr>
    </w:lvl>
    <w:lvl w:ilvl="3" w:tplc="10000001" w:tentative="1">
      <w:start w:val="1"/>
      <w:numFmt w:val="bullet"/>
      <w:lvlText w:val=""/>
      <w:lvlJc w:val="left"/>
      <w:pPr>
        <w:ind w:left="3447" w:hanging="360"/>
      </w:pPr>
      <w:rPr>
        <w:rFonts w:ascii="Symbol" w:hAnsi="Symbol" w:hint="default"/>
      </w:rPr>
    </w:lvl>
    <w:lvl w:ilvl="4" w:tplc="10000003" w:tentative="1">
      <w:start w:val="1"/>
      <w:numFmt w:val="bullet"/>
      <w:lvlText w:val="o"/>
      <w:lvlJc w:val="left"/>
      <w:pPr>
        <w:ind w:left="4167" w:hanging="360"/>
      </w:pPr>
      <w:rPr>
        <w:rFonts w:ascii="Courier New" w:hAnsi="Courier New" w:cs="Courier New" w:hint="default"/>
      </w:rPr>
    </w:lvl>
    <w:lvl w:ilvl="5" w:tplc="10000005" w:tentative="1">
      <w:start w:val="1"/>
      <w:numFmt w:val="bullet"/>
      <w:lvlText w:val=""/>
      <w:lvlJc w:val="left"/>
      <w:pPr>
        <w:ind w:left="4887" w:hanging="360"/>
      </w:pPr>
      <w:rPr>
        <w:rFonts w:ascii="Wingdings" w:hAnsi="Wingdings" w:hint="default"/>
      </w:rPr>
    </w:lvl>
    <w:lvl w:ilvl="6" w:tplc="10000001" w:tentative="1">
      <w:start w:val="1"/>
      <w:numFmt w:val="bullet"/>
      <w:lvlText w:val=""/>
      <w:lvlJc w:val="left"/>
      <w:pPr>
        <w:ind w:left="5607" w:hanging="360"/>
      </w:pPr>
      <w:rPr>
        <w:rFonts w:ascii="Symbol" w:hAnsi="Symbol" w:hint="default"/>
      </w:rPr>
    </w:lvl>
    <w:lvl w:ilvl="7" w:tplc="10000003" w:tentative="1">
      <w:start w:val="1"/>
      <w:numFmt w:val="bullet"/>
      <w:lvlText w:val="o"/>
      <w:lvlJc w:val="left"/>
      <w:pPr>
        <w:ind w:left="6327" w:hanging="360"/>
      </w:pPr>
      <w:rPr>
        <w:rFonts w:ascii="Courier New" w:hAnsi="Courier New" w:cs="Courier New" w:hint="default"/>
      </w:rPr>
    </w:lvl>
    <w:lvl w:ilvl="8" w:tplc="10000005" w:tentative="1">
      <w:start w:val="1"/>
      <w:numFmt w:val="bullet"/>
      <w:lvlText w:val=""/>
      <w:lvlJc w:val="left"/>
      <w:pPr>
        <w:ind w:left="7047" w:hanging="360"/>
      </w:pPr>
      <w:rPr>
        <w:rFonts w:ascii="Wingdings" w:hAnsi="Wingdings" w:hint="default"/>
      </w:rPr>
    </w:lvl>
  </w:abstractNum>
  <w:abstractNum w:abstractNumId="2" w15:restartNumberingAfterBreak="0">
    <w:nsid w:val="09E01111"/>
    <w:multiLevelType w:val="hybridMultilevel"/>
    <w:tmpl w:val="EC88A1B4"/>
    <w:lvl w:ilvl="0" w:tplc="10000001">
      <w:start w:val="1"/>
      <w:numFmt w:val="bullet"/>
      <w:lvlText w:val=""/>
      <w:lvlJc w:val="left"/>
      <w:pPr>
        <w:ind w:left="1440" w:hanging="360"/>
      </w:pPr>
      <w:rPr>
        <w:rFonts w:ascii="Symbol" w:hAnsi="Symbol" w:hint="default"/>
      </w:rPr>
    </w:lvl>
    <w:lvl w:ilvl="1" w:tplc="10000003" w:tentative="1">
      <w:start w:val="1"/>
      <w:numFmt w:val="bullet"/>
      <w:lvlText w:val="o"/>
      <w:lvlJc w:val="left"/>
      <w:pPr>
        <w:ind w:left="2160" w:hanging="360"/>
      </w:pPr>
      <w:rPr>
        <w:rFonts w:ascii="Courier New" w:hAnsi="Courier New" w:cs="Courier New" w:hint="default"/>
      </w:rPr>
    </w:lvl>
    <w:lvl w:ilvl="2" w:tplc="10000005" w:tentative="1">
      <w:start w:val="1"/>
      <w:numFmt w:val="bullet"/>
      <w:lvlText w:val=""/>
      <w:lvlJc w:val="left"/>
      <w:pPr>
        <w:ind w:left="2880" w:hanging="360"/>
      </w:pPr>
      <w:rPr>
        <w:rFonts w:ascii="Wingdings" w:hAnsi="Wingdings" w:hint="default"/>
      </w:rPr>
    </w:lvl>
    <w:lvl w:ilvl="3" w:tplc="10000001" w:tentative="1">
      <w:start w:val="1"/>
      <w:numFmt w:val="bullet"/>
      <w:lvlText w:val=""/>
      <w:lvlJc w:val="left"/>
      <w:pPr>
        <w:ind w:left="3600" w:hanging="360"/>
      </w:pPr>
      <w:rPr>
        <w:rFonts w:ascii="Symbol" w:hAnsi="Symbol" w:hint="default"/>
      </w:rPr>
    </w:lvl>
    <w:lvl w:ilvl="4" w:tplc="10000003" w:tentative="1">
      <w:start w:val="1"/>
      <w:numFmt w:val="bullet"/>
      <w:lvlText w:val="o"/>
      <w:lvlJc w:val="left"/>
      <w:pPr>
        <w:ind w:left="4320" w:hanging="360"/>
      </w:pPr>
      <w:rPr>
        <w:rFonts w:ascii="Courier New" w:hAnsi="Courier New" w:cs="Courier New" w:hint="default"/>
      </w:rPr>
    </w:lvl>
    <w:lvl w:ilvl="5" w:tplc="10000005" w:tentative="1">
      <w:start w:val="1"/>
      <w:numFmt w:val="bullet"/>
      <w:lvlText w:val=""/>
      <w:lvlJc w:val="left"/>
      <w:pPr>
        <w:ind w:left="5040" w:hanging="360"/>
      </w:pPr>
      <w:rPr>
        <w:rFonts w:ascii="Wingdings" w:hAnsi="Wingdings" w:hint="default"/>
      </w:rPr>
    </w:lvl>
    <w:lvl w:ilvl="6" w:tplc="10000001" w:tentative="1">
      <w:start w:val="1"/>
      <w:numFmt w:val="bullet"/>
      <w:lvlText w:val=""/>
      <w:lvlJc w:val="left"/>
      <w:pPr>
        <w:ind w:left="5760" w:hanging="360"/>
      </w:pPr>
      <w:rPr>
        <w:rFonts w:ascii="Symbol" w:hAnsi="Symbol" w:hint="default"/>
      </w:rPr>
    </w:lvl>
    <w:lvl w:ilvl="7" w:tplc="10000003" w:tentative="1">
      <w:start w:val="1"/>
      <w:numFmt w:val="bullet"/>
      <w:lvlText w:val="o"/>
      <w:lvlJc w:val="left"/>
      <w:pPr>
        <w:ind w:left="6480" w:hanging="360"/>
      </w:pPr>
      <w:rPr>
        <w:rFonts w:ascii="Courier New" w:hAnsi="Courier New" w:cs="Courier New" w:hint="default"/>
      </w:rPr>
    </w:lvl>
    <w:lvl w:ilvl="8" w:tplc="10000005" w:tentative="1">
      <w:start w:val="1"/>
      <w:numFmt w:val="bullet"/>
      <w:lvlText w:val=""/>
      <w:lvlJc w:val="left"/>
      <w:pPr>
        <w:ind w:left="7200" w:hanging="360"/>
      </w:pPr>
      <w:rPr>
        <w:rFonts w:ascii="Wingdings" w:hAnsi="Wingdings" w:hint="default"/>
      </w:rPr>
    </w:lvl>
  </w:abstractNum>
  <w:abstractNum w:abstractNumId="3" w15:restartNumberingAfterBreak="0">
    <w:nsid w:val="19174615"/>
    <w:multiLevelType w:val="hybridMultilevel"/>
    <w:tmpl w:val="888839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2AD7316F"/>
    <w:multiLevelType w:val="hybridMultilevel"/>
    <w:tmpl w:val="3FF29950"/>
    <w:lvl w:ilvl="0" w:tplc="10000003">
      <w:start w:val="1"/>
      <w:numFmt w:val="bullet"/>
      <w:lvlText w:val="o"/>
      <w:lvlJc w:val="left"/>
      <w:pPr>
        <w:ind w:left="720" w:hanging="360"/>
      </w:pPr>
      <w:rPr>
        <w:rFonts w:ascii="Courier New" w:hAnsi="Courier New" w:cs="Courier New"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313173E2"/>
    <w:multiLevelType w:val="hybridMultilevel"/>
    <w:tmpl w:val="E4589F1C"/>
    <w:lvl w:ilvl="0" w:tplc="041D0001">
      <w:start w:val="1"/>
      <w:numFmt w:val="bullet"/>
      <w:lvlText w:val=""/>
      <w:lvlJc w:val="left"/>
      <w:pPr>
        <w:ind w:left="720" w:hanging="360"/>
      </w:pPr>
      <w:rPr>
        <w:rFonts w:ascii="Symbol" w:hAnsi="Symbol" w:hint="default"/>
      </w:rPr>
    </w:lvl>
    <w:lvl w:ilvl="1" w:tplc="63426BB8">
      <w:start w:val="1"/>
      <w:numFmt w:val="bullet"/>
      <w:lvlText w:val="o"/>
      <w:lvlJc w:val="left"/>
      <w:pPr>
        <w:ind w:left="1353" w:hanging="360"/>
      </w:pPr>
      <w:rPr>
        <w:rFonts w:ascii="Courier New" w:hAnsi="Courier New" w:cs="Courier New" w:hint="default"/>
        <w:strike w:val="0"/>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3365433"/>
    <w:multiLevelType w:val="hybridMultilevel"/>
    <w:tmpl w:val="FE20AF64"/>
    <w:lvl w:ilvl="0" w:tplc="10000003">
      <w:start w:val="1"/>
      <w:numFmt w:val="bullet"/>
      <w:lvlText w:val="o"/>
      <w:lvlJc w:val="left"/>
      <w:pPr>
        <w:ind w:left="720" w:hanging="360"/>
      </w:pPr>
      <w:rPr>
        <w:rFonts w:ascii="Courier New" w:hAnsi="Courier New" w:cs="Courier New"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342A7159"/>
    <w:multiLevelType w:val="hybridMultilevel"/>
    <w:tmpl w:val="9006A09C"/>
    <w:lvl w:ilvl="0" w:tplc="27DEC93C">
      <w:start w:val="3"/>
      <w:numFmt w:val="bullet"/>
      <w:lvlText w:val="-"/>
      <w:lvlJc w:val="left"/>
      <w:pPr>
        <w:ind w:left="720" w:hanging="360"/>
      </w:pPr>
      <w:rPr>
        <w:rFonts w:ascii="Ericsson Hilda" w:eastAsia="Calibri" w:hAnsi="Ericsson Hilda"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36CE2F7E"/>
    <w:multiLevelType w:val="hybridMultilevel"/>
    <w:tmpl w:val="64DE378A"/>
    <w:lvl w:ilvl="0" w:tplc="040B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9BB72E0"/>
    <w:multiLevelType w:val="hybridMultilevel"/>
    <w:tmpl w:val="B50E6D34"/>
    <w:lvl w:ilvl="0" w:tplc="040B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4D7CE464"/>
    <w:lvl w:ilvl="0" w:tplc="C64E342A">
      <w:start w:val="1"/>
      <w:numFmt w:val="decimal"/>
      <w:pStyle w:val="Proposal"/>
      <w:lvlText w:val="Proposal %1"/>
      <w:lvlJc w:val="left"/>
      <w:pPr>
        <w:tabs>
          <w:tab w:val="num" w:pos="1446"/>
        </w:tabs>
        <w:ind w:left="1446" w:hanging="1304"/>
      </w:pPr>
      <w:rPr>
        <w:rFonts w:ascii="Arial" w:hAnsi="Arial" w:cs="Arial" w:hint="default"/>
        <w:b/>
        <w:i w:val="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12774E"/>
    <w:multiLevelType w:val="hybridMultilevel"/>
    <w:tmpl w:val="BB789CC4"/>
    <w:lvl w:ilvl="0" w:tplc="0570DDAC">
      <w:numFmt w:val="bullet"/>
      <w:lvlText w:val="•"/>
      <w:lvlJc w:val="left"/>
      <w:pPr>
        <w:ind w:left="72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44DF739C"/>
    <w:multiLevelType w:val="hybridMultilevel"/>
    <w:tmpl w:val="33082E0A"/>
    <w:lvl w:ilvl="0" w:tplc="7250F2B4">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C04D52"/>
    <w:multiLevelType w:val="hybridMultilevel"/>
    <w:tmpl w:val="FCA0389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04081E5A"/>
    <w:lvl w:ilvl="0" w:tplc="B7B89F6A">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B41CE0"/>
    <w:multiLevelType w:val="hybridMultilevel"/>
    <w:tmpl w:val="FEEE77C6"/>
    <w:lvl w:ilvl="0" w:tplc="EBC6AF0A">
      <w:start w:val="1"/>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60126B9A"/>
    <w:multiLevelType w:val="hybridMultilevel"/>
    <w:tmpl w:val="7952B52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675B66BD"/>
    <w:multiLevelType w:val="hybridMultilevel"/>
    <w:tmpl w:val="5B66E560"/>
    <w:lvl w:ilvl="0" w:tplc="2FA4331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69A52DDF"/>
    <w:multiLevelType w:val="hybridMultilevel"/>
    <w:tmpl w:val="97CE51A6"/>
    <w:lvl w:ilvl="0" w:tplc="4476B19E">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062FB1"/>
    <w:multiLevelType w:val="hybridMultilevel"/>
    <w:tmpl w:val="954E4ABA"/>
    <w:lvl w:ilvl="0" w:tplc="1000000B">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7B12593"/>
    <w:multiLevelType w:val="hybridMultilevel"/>
    <w:tmpl w:val="7A9400F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1475561964">
    <w:abstractNumId w:val="14"/>
  </w:num>
  <w:num w:numId="2" w16cid:durableId="2142921425">
    <w:abstractNumId w:val="11"/>
  </w:num>
  <w:num w:numId="3" w16cid:durableId="40054916">
    <w:abstractNumId w:val="6"/>
  </w:num>
  <w:num w:numId="4" w16cid:durableId="201334016">
    <w:abstractNumId w:val="3"/>
  </w:num>
  <w:num w:numId="5" w16cid:durableId="832642582">
    <w:abstractNumId w:val="10"/>
  </w:num>
  <w:num w:numId="6" w16cid:durableId="1422557165">
    <w:abstractNumId w:val="9"/>
  </w:num>
  <w:num w:numId="7" w16cid:durableId="2052419133">
    <w:abstractNumId w:val="11"/>
    <w:lvlOverride w:ilvl="0">
      <w:startOverride w:val="1"/>
    </w:lvlOverride>
  </w:num>
  <w:num w:numId="8" w16cid:durableId="10963609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856421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097788">
    <w:abstractNumId w:val="23"/>
  </w:num>
  <w:num w:numId="11" w16cid:durableId="590159004">
    <w:abstractNumId w:val="18"/>
  </w:num>
  <w:num w:numId="12" w16cid:durableId="2004819253">
    <w:abstractNumId w:val="19"/>
  </w:num>
  <w:num w:numId="13" w16cid:durableId="15074776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8816072">
    <w:abstractNumId w:val="16"/>
  </w:num>
  <w:num w:numId="15" w16cid:durableId="85342630">
    <w:abstractNumId w:val="16"/>
    <w:lvlOverride w:ilvl="0">
      <w:startOverride w:val="1"/>
    </w:lvlOverride>
  </w:num>
  <w:num w:numId="16" w16cid:durableId="9334421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44342484">
    <w:abstractNumId w:val="16"/>
    <w:lvlOverride w:ilvl="0">
      <w:startOverride w:val="1"/>
    </w:lvlOverride>
  </w:num>
  <w:num w:numId="18" w16cid:durableId="7511955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5657939">
    <w:abstractNumId w:val="16"/>
    <w:lvlOverride w:ilvl="0">
      <w:startOverride w:val="1"/>
    </w:lvlOverride>
  </w:num>
  <w:num w:numId="20" w16cid:durableId="916551241">
    <w:abstractNumId w:val="4"/>
  </w:num>
  <w:num w:numId="21" w16cid:durableId="409814178">
    <w:abstractNumId w:val="24"/>
  </w:num>
  <w:num w:numId="22" w16cid:durableId="871653979">
    <w:abstractNumId w:val="1"/>
  </w:num>
  <w:num w:numId="23" w16cid:durableId="2034648833">
    <w:abstractNumId w:val="5"/>
  </w:num>
  <w:num w:numId="24" w16cid:durableId="1339308910">
    <w:abstractNumId w:val="0"/>
  </w:num>
  <w:num w:numId="25" w16cid:durableId="1212040003">
    <w:abstractNumId w:val="7"/>
  </w:num>
  <w:num w:numId="26" w16cid:durableId="614141971">
    <w:abstractNumId w:val="17"/>
  </w:num>
  <w:num w:numId="27" w16cid:durableId="1891377207">
    <w:abstractNumId w:val="25"/>
  </w:num>
  <w:num w:numId="28" w16cid:durableId="664167874">
    <w:abstractNumId w:val="16"/>
    <w:lvlOverride w:ilvl="0">
      <w:startOverride w:val="1"/>
    </w:lvlOverride>
  </w:num>
  <w:num w:numId="29" w16cid:durableId="1455632856">
    <w:abstractNumId w:val="16"/>
    <w:lvlOverride w:ilvl="0">
      <w:startOverride w:val="1"/>
    </w:lvlOverride>
  </w:num>
  <w:num w:numId="30" w16cid:durableId="322902170">
    <w:abstractNumId w:val="11"/>
    <w:lvlOverride w:ilvl="0">
      <w:startOverride w:val="1"/>
    </w:lvlOverride>
  </w:num>
  <w:num w:numId="31" w16cid:durableId="1644503651">
    <w:abstractNumId w:val="8"/>
  </w:num>
  <w:num w:numId="32" w16cid:durableId="1025523207">
    <w:abstractNumId w:val="21"/>
  </w:num>
  <w:num w:numId="33" w16cid:durableId="1041782861">
    <w:abstractNumId w:val="8"/>
  </w:num>
  <w:num w:numId="34" w16cid:durableId="1313756104">
    <w:abstractNumId w:val="16"/>
    <w:lvlOverride w:ilvl="0">
      <w:startOverride w:val="1"/>
    </w:lvlOverride>
  </w:num>
  <w:num w:numId="35" w16cid:durableId="561908154">
    <w:abstractNumId w:val="11"/>
    <w:lvlOverride w:ilvl="0">
      <w:startOverride w:val="1"/>
    </w:lvlOverride>
  </w:num>
  <w:num w:numId="36" w16cid:durableId="1164707631">
    <w:abstractNumId w:val="15"/>
  </w:num>
  <w:num w:numId="37" w16cid:durableId="1224486621">
    <w:abstractNumId w:val="12"/>
  </w:num>
  <w:num w:numId="38" w16cid:durableId="808018269">
    <w:abstractNumId w:val="2"/>
  </w:num>
  <w:num w:numId="39" w16cid:durableId="1456829786">
    <w:abstractNumId w:val="22"/>
  </w:num>
  <w:num w:numId="40" w16cid:durableId="76939767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3BB78"/>
    <w:rsid w:val="00000723"/>
    <w:rsid w:val="000055EB"/>
    <w:rsid w:val="000160C7"/>
    <w:rsid w:val="00025CF6"/>
    <w:rsid w:val="000366C9"/>
    <w:rsid w:val="0004535D"/>
    <w:rsid w:val="00056E52"/>
    <w:rsid w:val="000845B0"/>
    <w:rsid w:val="000B6340"/>
    <w:rsid w:val="000D2EA4"/>
    <w:rsid w:val="000D427E"/>
    <w:rsid w:val="000D4A34"/>
    <w:rsid w:val="000D7160"/>
    <w:rsid w:val="000E0A47"/>
    <w:rsid w:val="000E2154"/>
    <w:rsid w:val="000E77C4"/>
    <w:rsid w:val="00100439"/>
    <w:rsid w:val="00107358"/>
    <w:rsid w:val="001117EE"/>
    <w:rsid w:val="001161A5"/>
    <w:rsid w:val="0011739C"/>
    <w:rsid w:val="00117990"/>
    <w:rsid w:val="001207E8"/>
    <w:rsid w:val="00127CE7"/>
    <w:rsid w:val="00130F6B"/>
    <w:rsid w:val="001477DC"/>
    <w:rsid w:val="00163513"/>
    <w:rsid w:val="00174472"/>
    <w:rsid w:val="00181892"/>
    <w:rsid w:val="001933BD"/>
    <w:rsid w:val="001956BE"/>
    <w:rsid w:val="001B07E9"/>
    <w:rsid w:val="001B218B"/>
    <w:rsid w:val="001D4FFF"/>
    <w:rsid w:val="001D6046"/>
    <w:rsid w:val="001F28FC"/>
    <w:rsid w:val="00206F0C"/>
    <w:rsid w:val="00240A5F"/>
    <w:rsid w:val="00250C55"/>
    <w:rsid w:val="002610A4"/>
    <w:rsid w:val="00270FD0"/>
    <w:rsid w:val="002828CA"/>
    <w:rsid w:val="002910A1"/>
    <w:rsid w:val="002C103B"/>
    <w:rsid w:val="002D08EF"/>
    <w:rsid w:val="002E100A"/>
    <w:rsid w:val="002E644E"/>
    <w:rsid w:val="002F3E3F"/>
    <w:rsid w:val="003001EA"/>
    <w:rsid w:val="003010A6"/>
    <w:rsid w:val="00301A28"/>
    <w:rsid w:val="00334C1A"/>
    <w:rsid w:val="00336623"/>
    <w:rsid w:val="003370A2"/>
    <w:rsid w:val="0034033B"/>
    <w:rsid w:val="003433F1"/>
    <w:rsid w:val="003626FA"/>
    <w:rsid w:val="003773F4"/>
    <w:rsid w:val="003856F7"/>
    <w:rsid w:val="00385FCF"/>
    <w:rsid w:val="0039330E"/>
    <w:rsid w:val="003C114D"/>
    <w:rsid w:val="003C3E1A"/>
    <w:rsid w:val="003C5F8E"/>
    <w:rsid w:val="003D07E8"/>
    <w:rsid w:val="003D2CFC"/>
    <w:rsid w:val="003E77C0"/>
    <w:rsid w:val="003F1DA6"/>
    <w:rsid w:val="00417907"/>
    <w:rsid w:val="004240B4"/>
    <w:rsid w:val="00452155"/>
    <w:rsid w:val="00453E82"/>
    <w:rsid w:val="0046335D"/>
    <w:rsid w:val="00483B5E"/>
    <w:rsid w:val="004907DD"/>
    <w:rsid w:val="00496617"/>
    <w:rsid w:val="004A7300"/>
    <w:rsid w:val="004C5264"/>
    <w:rsid w:val="004F1702"/>
    <w:rsid w:val="0051640F"/>
    <w:rsid w:val="00533002"/>
    <w:rsid w:val="00541801"/>
    <w:rsid w:val="0054202E"/>
    <w:rsid w:val="00565D7D"/>
    <w:rsid w:val="00595AE7"/>
    <w:rsid w:val="00596E09"/>
    <w:rsid w:val="005A5117"/>
    <w:rsid w:val="005B1BA7"/>
    <w:rsid w:val="005B72B0"/>
    <w:rsid w:val="005F366E"/>
    <w:rsid w:val="005F381A"/>
    <w:rsid w:val="00600F59"/>
    <w:rsid w:val="00665ECB"/>
    <w:rsid w:val="00673D9F"/>
    <w:rsid w:val="0068113B"/>
    <w:rsid w:val="00685838"/>
    <w:rsid w:val="0069263A"/>
    <w:rsid w:val="006A23F0"/>
    <w:rsid w:val="006A32D3"/>
    <w:rsid w:val="006B3329"/>
    <w:rsid w:val="006E644E"/>
    <w:rsid w:val="006F2308"/>
    <w:rsid w:val="00711ED2"/>
    <w:rsid w:val="00716DED"/>
    <w:rsid w:val="00764DB2"/>
    <w:rsid w:val="007663BF"/>
    <w:rsid w:val="007713C6"/>
    <w:rsid w:val="00790346"/>
    <w:rsid w:val="00795695"/>
    <w:rsid w:val="007976FD"/>
    <w:rsid w:val="007A0506"/>
    <w:rsid w:val="007D1710"/>
    <w:rsid w:val="007D2839"/>
    <w:rsid w:val="007E13EB"/>
    <w:rsid w:val="007E5718"/>
    <w:rsid w:val="007E6CCE"/>
    <w:rsid w:val="007F5C12"/>
    <w:rsid w:val="0080150F"/>
    <w:rsid w:val="00816CBB"/>
    <w:rsid w:val="0083173A"/>
    <w:rsid w:val="00861D3E"/>
    <w:rsid w:val="00863F86"/>
    <w:rsid w:val="00870510"/>
    <w:rsid w:val="008738BE"/>
    <w:rsid w:val="0089327A"/>
    <w:rsid w:val="008B1CB4"/>
    <w:rsid w:val="008E363C"/>
    <w:rsid w:val="008F615B"/>
    <w:rsid w:val="00931A73"/>
    <w:rsid w:val="00940988"/>
    <w:rsid w:val="00947D64"/>
    <w:rsid w:val="00981B25"/>
    <w:rsid w:val="00983144"/>
    <w:rsid w:val="00984C98"/>
    <w:rsid w:val="00987D15"/>
    <w:rsid w:val="009A4CA0"/>
    <w:rsid w:val="009A76BD"/>
    <w:rsid w:val="009B0752"/>
    <w:rsid w:val="009C1BC9"/>
    <w:rsid w:val="009C46B3"/>
    <w:rsid w:val="009C739C"/>
    <w:rsid w:val="009F3477"/>
    <w:rsid w:val="00A00AE1"/>
    <w:rsid w:val="00A22F5F"/>
    <w:rsid w:val="00A3769A"/>
    <w:rsid w:val="00A422EB"/>
    <w:rsid w:val="00A46857"/>
    <w:rsid w:val="00A46B54"/>
    <w:rsid w:val="00A46EA3"/>
    <w:rsid w:val="00A56EFA"/>
    <w:rsid w:val="00A57744"/>
    <w:rsid w:val="00A737C4"/>
    <w:rsid w:val="00A920A9"/>
    <w:rsid w:val="00A9666D"/>
    <w:rsid w:val="00AA37E9"/>
    <w:rsid w:val="00AA455F"/>
    <w:rsid w:val="00AD1557"/>
    <w:rsid w:val="00AE14F1"/>
    <w:rsid w:val="00AE5835"/>
    <w:rsid w:val="00AE69EA"/>
    <w:rsid w:val="00B00EF5"/>
    <w:rsid w:val="00B12EA4"/>
    <w:rsid w:val="00B23CE7"/>
    <w:rsid w:val="00B71368"/>
    <w:rsid w:val="00B72D83"/>
    <w:rsid w:val="00B83B87"/>
    <w:rsid w:val="00B85399"/>
    <w:rsid w:val="00BA6EFB"/>
    <w:rsid w:val="00BF13FA"/>
    <w:rsid w:val="00C0050D"/>
    <w:rsid w:val="00C05579"/>
    <w:rsid w:val="00C33E19"/>
    <w:rsid w:val="00C62ED1"/>
    <w:rsid w:val="00C7405F"/>
    <w:rsid w:val="00C950E4"/>
    <w:rsid w:val="00CC3057"/>
    <w:rsid w:val="00CD6E4B"/>
    <w:rsid w:val="00CE43F5"/>
    <w:rsid w:val="00CE602A"/>
    <w:rsid w:val="00D01B0B"/>
    <w:rsid w:val="00D060FB"/>
    <w:rsid w:val="00D3243D"/>
    <w:rsid w:val="00D4491C"/>
    <w:rsid w:val="00D52AE8"/>
    <w:rsid w:val="00D60FE8"/>
    <w:rsid w:val="00D721F9"/>
    <w:rsid w:val="00D92030"/>
    <w:rsid w:val="00D92406"/>
    <w:rsid w:val="00DA6239"/>
    <w:rsid w:val="00DD2194"/>
    <w:rsid w:val="00DE21BB"/>
    <w:rsid w:val="00E178AF"/>
    <w:rsid w:val="00E23C4E"/>
    <w:rsid w:val="00E25151"/>
    <w:rsid w:val="00E575C1"/>
    <w:rsid w:val="00E83328"/>
    <w:rsid w:val="00E9354B"/>
    <w:rsid w:val="00E93ABA"/>
    <w:rsid w:val="00EA475B"/>
    <w:rsid w:val="00EB7D8C"/>
    <w:rsid w:val="00EC76A6"/>
    <w:rsid w:val="00EE3D15"/>
    <w:rsid w:val="00EE5BC9"/>
    <w:rsid w:val="00EE5D97"/>
    <w:rsid w:val="00F01F06"/>
    <w:rsid w:val="00F04E25"/>
    <w:rsid w:val="00F06ED7"/>
    <w:rsid w:val="00F1185F"/>
    <w:rsid w:val="00F12565"/>
    <w:rsid w:val="00F16529"/>
    <w:rsid w:val="00F2218B"/>
    <w:rsid w:val="00F26CB5"/>
    <w:rsid w:val="00F42C5F"/>
    <w:rsid w:val="00F56E93"/>
    <w:rsid w:val="00F647D4"/>
    <w:rsid w:val="00F776DC"/>
    <w:rsid w:val="00F9783C"/>
    <w:rsid w:val="00FB3131"/>
    <w:rsid w:val="00FC6915"/>
    <w:rsid w:val="00FD234D"/>
    <w:rsid w:val="1339CC52"/>
    <w:rsid w:val="2853BB7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3BB78"/>
  <w15:chartTrackingRefBased/>
  <w15:docId w15:val="{32ACE6F0-008A-45E7-B6EF-EAE6DE328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55F"/>
    <w:pPr>
      <w:spacing w:after="0" w:line="240" w:lineRule="auto"/>
    </w:pPr>
    <w:rPr>
      <w:rFonts w:ascii="Calibri" w:hAnsi="Calibri" w:cs="Calibri"/>
      <w:lang w:val="fi-FI"/>
    </w:rPr>
  </w:style>
  <w:style w:type="paragraph" w:styleId="Heading1">
    <w:name w:val="heading 1"/>
    <w:next w:val="Normal"/>
    <w:link w:val="Heading1Char"/>
    <w:qFormat/>
    <w:rsid w:val="001933B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basedOn w:val="Normal"/>
    <w:next w:val="Normal"/>
    <w:link w:val="Heading2Char"/>
    <w:uiPriority w:val="9"/>
    <w:semiHidden/>
    <w:unhideWhenUsed/>
    <w:qFormat/>
    <w:rsid w:val="001117E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2828CA"/>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7">
    <w:name w:val="heading 7"/>
    <w:basedOn w:val="Normal"/>
    <w:next w:val="Normal"/>
    <w:link w:val="Heading7Char"/>
    <w:uiPriority w:val="9"/>
    <w:semiHidden/>
    <w:unhideWhenUsed/>
    <w:qFormat/>
    <w:rsid w:val="00AE5835"/>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33BD"/>
    <w:rPr>
      <w:rFonts w:ascii="Arial" w:eastAsia="Times New Roman" w:hAnsi="Arial" w:cs="Times New Roman"/>
      <w:sz w:val="36"/>
      <w:szCs w:val="20"/>
      <w:lang w:eastAsia="ja-JP"/>
    </w:rPr>
  </w:style>
  <w:style w:type="paragraph" w:customStyle="1" w:styleId="3GPPHeader">
    <w:name w:val="3GPP_Header"/>
    <w:basedOn w:val="BodyText"/>
    <w:rsid w:val="001933BD"/>
    <w:pPr>
      <w:tabs>
        <w:tab w:val="left" w:pos="1701"/>
        <w:tab w:val="right" w:pos="9639"/>
      </w:tabs>
      <w:spacing w:after="240"/>
    </w:pPr>
    <w:rPr>
      <w:b/>
    </w:rPr>
  </w:style>
  <w:style w:type="paragraph" w:customStyle="1" w:styleId="Reference">
    <w:name w:val="Reference"/>
    <w:basedOn w:val="BodyText"/>
    <w:rsid w:val="001933BD"/>
    <w:pPr>
      <w:numPr>
        <w:numId w:val="1"/>
      </w:numPr>
    </w:pPr>
  </w:style>
  <w:style w:type="paragraph" w:styleId="BodyText">
    <w:name w:val="Body Text"/>
    <w:basedOn w:val="Normal"/>
    <w:link w:val="BodyTextChar"/>
    <w:rsid w:val="001933BD"/>
    <w:pPr>
      <w:spacing w:after="120"/>
      <w:jc w:val="both"/>
    </w:pPr>
    <w:rPr>
      <w:rFonts w:ascii="Arial" w:eastAsia="Times New Roman" w:hAnsi="Arial" w:cs="Times New Roman"/>
      <w:sz w:val="20"/>
      <w:szCs w:val="24"/>
      <w:lang w:val="en-US" w:eastAsia="zh-CN"/>
    </w:rPr>
  </w:style>
  <w:style w:type="character" w:customStyle="1" w:styleId="BodyTextChar">
    <w:name w:val="Body Text Char"/>
    <w:basedOn w:val="DefaultParagraphFont"/>
    <w:link w:val="BodyText"/>
    <w:rsid w:val="001933BD"/>
    <w:rPr>
      <w:rFonts w:ascii="Arial" w:eastAsia="Times New Roman" w:hAnsi="Arial" w:cs="Times New Roman"/>
      <w:sz w:val="20"/>
      <w:szCs w:val="24"/>
      <w:lang w:val="en-US" w:eastAsia="zh-CN"/>
    </w:rPr>
  </w:style>
  <w:style w:type="character" w:styleId="Hyperlink">
    <w:name w:val="Hyperlink"/>
    <w:uiPriority w:val="99"/>
    <w:qFormat/>
    <w:rsid w:val="001933BD"/>
    <w:rPr>
      <w:color w:val="0000FF"/>
      <w:u w:val="single"/>
    </w:rPr>
  </w:style>
  <w:style w:type="paragraph" w:customStyle="1" w:styleId="Proposal">
    <w:name w:val="Proposal"/>
    <w:basedOn w:val="BodyText"/>
    <w:qFormat/>
    <w:rsid w:val="001933BD"/>
    <w:pPr>
      <w:numPr>
        <w:numId w:val="2"/>
      </w:numPr>
      <w:tabs>
        <w:tab w:val="left" w:pos="1701"/>
      </w:tabs>
    </w:pPr>
    <w:rPr>
      <w:b/>
      <w:bCs/>
    </w:rPr>
  </w:style>
  <w:style w:type="table" w:styleId="TableGrid">
    <w:name w:val="Table Grid"/>
    <w:basedOn w:val="TableNormal"/>
    <w:uiPriority w:val="59"/>
    <w:qFormat/>
    <w:rsid w:val="001933BD"/>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1933BD"/>
    <w:pPr>
      <w:spacing w:after="0" w:line="240" w:lineRule="auto"/>
    </w:pPr>
    <w:rPr>
      <w:rFonts w:ascii="Times New Roman" w:eastAsia="Yu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5">
    <w:name w:val="Grid Table 5 Dark Accent 5"/>
    <w:basedOn w:val="TableNormal"/>
    <w:uiPriority w:val="50"/>
    <w:rsid w:val="001933BD"/>
    <w:pPr>
      <w:spacing w:after="0" w:line="240" w:lineRule="auto"/>
    </w:pPr>
    <w:rPr>
      <w:lang w:val="fi-F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Caption">
    <w:name w:val="caption"/>
    <w:basedOn w:val="Normal"/>
    <w:next w:val="Normal"/>
    <w:uiPriority w:val="35"/>
    <w:unhideWhenUsed/>
    <w:qFormat/>
    <w:rsid w:val="001933BD"/>
    <w:pPr>
      <w:spacing w:after="200"/>
    </w:pPr>
    <w:rPr>
      <w:i/>
      <w:iCs/>
      <w:color w:val="44546A" w:themeColor="text2"/>
      <w:sz w:val="18"/>
      <w:szCs w:val="18"/>
    </w:rPr>
  </w:style>
  <w:style w:type="character" w:customStyle="1" w:styleId="Heading4Char">
    <w:name w:val="Heading 4 Char"/>
    <w:basedOn w:val="DefaultParagraphFont"/>
    <w:link w:val="Heading4"/>
    <w:uiPriority w:val="9"/>
    <w:semiHidden/>
    <w:rsid w:val="002828CA"/>
    <w:rPr>
      <w:rFonts w:asciiTheme="majorHAnsi" w:eastAsiaTheme="majorEastAsia" w:hAnsiTheme="majorHAnsi" w:cstheme="majorBidi"/>
      <w:i/>
      <w:iCs/>
      <w:color w:val="2F5496" w:themeColor="accent1" w:themeShade="BF"/>
      <w:lang w:val="fi-FI"/>
    </w:rPr>
  </w:style>
  <w:style w:type="character" w:customStyle="1" w:styleId="Doc-titleChar">
    <w:name w:val="Doc-title Char"/>
    <w:basedOn w:val="DefaultParagraphFont"/>
    <w:link w:val="Doc-title"/>
    <w:locked/>
    <w:rsid w:val="002828CA"/>
    <w:rPr>
      <w:rFonts w:ascii="Arial" w:hAnsi="Arial" w:cs="Arial"/>
      <w:lang w:eastAsia="en-GB"/>
    </w:rPr>
  </w:style>
  <w:style w:type="paragraph" w:customStyle="1" w:styleId="Doc-title">
    <w:name w:val="Doc-title"/>
    <w:basedOn w:val="Normal"/>
    <w:link w:val="Doc-titleChar"/>
    <w:rsid w:val="002828CA"/>
    <w:pPr>
      <w:spacing w:before="60"/>
      <w:ind w:left="1259" w:hanging="1259"/>
    </w:pPr>
    <w:rPr>
      <w:rFonts w:ascii="Arial" w:hAnsi="Arial" w:cs="Arial"/>
      <w:lang w:val="en-GB" w:eastAsia="en-GB"/>
    </w:rPr>
  </w:style>
  <w:style w:type="character" w:customStyle="1" w:styleId="Doc-text2Char">
    <w:name w:val="Doc-text2 Char"/>
    <w:basedOn w:val="DefaultParagraphFont"/>
    <w:link w:val="Doc-text2"/>
    <w:locked/>
    <w:rsid w:val="002828CA"/>
    <w:rPr>
      <w:rFonts w:ascii="Arial" w:hAnsi="Arial" w:cs="Arial"/>
      <w:lang w:eastAsia="en-GB"/>
    </w:rPr>
  </w:style>
  <w:style w:type="paragraph" w:customStyle="1" w:styleId="Doc-text2">
    <w:name w:val="Doc-text2"/>
    <w:basedOn w:val="Normal"/>
    <w:link w:val="Doc-text2Char"/>
    <w:rsid w:val="002828CA"/>
    <w:pPr>
      <w:ind w:left="1622" w:hanging="363"/>
    </w:pPr>
    <w:rPr>
      <w:rFonts w:ascii="Arial" w:hAnsi="Arial" w:cs="Arial"/>
      <w:lang w:val="en-GB" w:eastAsia="en-GB"/>
    </w:rPr>
  </w:style>
  <w:style w:type="paragraph" w:customStyle="1" w:styleId="Agreement">
    <w:name w:val="Agreement"/>
    <w:basedOn w:val="Normal"/>
    <w:uiPriority w:val="99"/>
    <w:qFormat/>
    <w:rsid w:val="002828CA"/>
    <w:pPr>
      <w:numPr>
        <w:numId w:val="10"/>
      </w:numPr>
      <w:spacing w:before="60"/>
    </w:pPr>
    <w:rPr>
      <w:rFonts w:ascii="Arial" w:hAnsi="Arial" w:cs="Arial"/>
      <w:b/>
      <w:bCs/>
      <w:sz w:val="20"/>
      <w:szCs w:val="20"/>
      <w:lang w:eastAsia="en-GB"/>
    </w:rPr>
  </w:style>
  <w:style w:type="character" w:customStyle="1" w:styleId="BoldCommentsChar">
    <w:name w:val="Bold Comments Char"/>
    <w:basedOn w:val="DefaultParagraphFont"/>
    <w:link w:val="BoldComments"/>
    <w:locked/>
    <w:rsid w:val="002828CA"/>
    <w:rPr>
      <w:rFonts w:ascii="Arial" w:hAnsi="Arial" w:cs="Arial"/>
      <w:b/>
      <w:bCs/>
      <w:lang w:eastAsia="x-none"/>
    </w:rPr>
  </w:style>
  <w:style w:type="paragraph" w:customStyle="1" w:styleId="BoldComments">
    <w:name w:val="Bold Comments"/>
    <w:basedOn w:val="Normal"/>
    <w:link w:val="BoldCommentsChar"/>
    <w:rsid w:val="002828CA"/>
    <w:pPr>
      <w:spacing w:before="240" w:after="60"/>
    </w:pPr>
    <w:rPr>
      <w:rFonts w:ascii="Arial" w:hAnsi="Arial" w:cs="Arial"/>
      <w:b/>
      <w:bCs/>
      <w:lang w:val="en-GB" w:eastAsia="x-none"/>
    </w:rPr>
  </w:style>
  <w:style w:type="paragraph" w:styleId="ListParagraph">
    <w:name w:val="List Paragraph"/>
    <w:aliases w:val="- Bullets,목록 단락,リスト段落,列出段落,Lista1,?? ??,?????,????,列出段落1,中等深浅网格 1 - 着色 21,R4_bullets,列表段落,列表段落1,—ño’i—Ž,¥¡¡¡¡ì¬º¥¹¥È¶ÎÂä,ÁÐ³ö¶ÎÂä,¥ê¥¹¥È¶ÎÂä,1st level - Bullet List Paragraph,Lettre d'introduction,Paragrafo elenco,Normal bullet 2,列表段落11"/>
    <w:basedOn w:val="Normal"/>
    <w:link w:val="ListParagraphChar"/>
    <w:uiPriority w:val="34"/>
    <w:qFormat/>
    <w:rsid w:val="00CE602A"/>
    <w:pPr>
      <w:ind w:left="720"/>
      <w:contextualSpacing/>
    </w:pPr>
  </w:style>
  <w:style w:type="character" w:customStyle="1" w:styleId="NOChar">
    <w:name w:val="NO Char"/>
    <w:link w:val="NO"/>
    <w:qFormat/>
    <w:locked/>
    <w:rsid w:val="00CE602A"/>
    <w:rPr>
      <w:rFonts w:ascii="Times New Roman" w:hAnsi="Times New Roman" w:cs="Times New Roman"/>
    </w:rPr>
  </w:style>
  <w:style w:type="paragraph" w:customStyle="1" w:styleId="NO">
    <w:name w:val="NO"/>
    <w:basedOn w:val="Normal"/>
    <w:link w:val="NOChar"/>
    <w:qFormat/>
    <w:rsid w:val="00CE602A"/>
    <w:pPr>
      <w:keepLines/>
      <w:spacing w:after="180"/>
      <w:ind w:left="1135" w:hanging="851"/>
    </w:pPr>
    <w:rPr>
      <w:rFonts w:ascii="Times New Roman" w:hAnsi="Times New Roman" w:cs="Times New Roman"/>
      <w:lang w:val="en-GB"/>
    </w:rPr>
  </w:style>
  <w:style w:type="character" w:styleId="UnresolvedMention">
    <w:name w:val="Unresolved Mention"/>
    <w:basedOn w:val="DefaultParagraphFont"/>
    <w:uiPriority w:val="99"/>
    <w:unhideWhenUsed/>
    <w:rsid w:val="000D427E"/>
    <w:rPr>
      <w:color w:val="605E5C"/>
      <w:shd w:val="clear" w:color="auto" w:fill="E1DFDD"/>
    </w:rPr>
  </w:style>
  <w:style w:type="character" w:customStyle="1" w:styleId="THChar">
    <w:name w:val="TH Char"/>
    <w:link w:val="TH"/>
    <w:qFormat/>
    <w:locked/>
    <w:rsid w:val="003C3E1A"/>
    <w:rPr>
      <w:rFonts w:ascii="Arial" w:hAnsi="Arial" w:cs="Arial"/>
      <w:b/>
    </w:rPr>
  </w:style>
  <w:style w:type="paragraph" w:customStyle="1" w:styleId="TH">
    <w:name w:val="TH"/>
    <w:basedOn w:val="Normal"/>
    <w:link w:val="THChar"/>
    <w:qFormat/>
    <w:rsid w:val="003C3E1A"/>
    <w:pPr>
      <w:keepNext/>
      <w:keepLines/>
      <w:spacing w:before="60" w:after="180"/>
      <w:jc w:val="center"/>
    </w:pPr>
    <w:rPr>
      <w:rFonts w:ascii="Arial" w:hAnsi="Arial" w:cs="Arial"/>
      <w:b/>
      <w:lang w:val="en-GB"/>
    </w:rPr>
  </w:style>
  <w:style w:type="character" w:customStyle="1" w:styleId="EditorsNoteChar">
    <w:name w:val="Editor's Note Char"/>
    <w:link w:val="EditorsNote"/>
    <w:locked/>
    <w:rsid w:val="003C3E1A"/>
    <w:rPr>
      <w:rFonts w:ascii="Times New Roman" w:hAnsi="Times New Roman" w:cs="Times New Roman"/>
      <w:color w:val="FF0000"/>
    </w:rPr>
  </w:style>
  <w:style w:type="paragraph" w:customStyle="1" w:styleId="EditorsNote">
    <w:name w:val="Editor's Note"/>
    <w:basedOn w:val="Normal"/>
    <w:link w:val="EditorsNoteChar"/>
    <w:qFormat/>
    <w:rsid w:val="003C3E1A"/>
    <w:pPr>
      <w:keepLines/>
      <w:spacing w:after="180"/>
      <w:ind w:left="1135" w:hanging="851"/>
    </w:pPr>
    <w:rPr>
      <w:rFonts w:ascii="Times New Roman" w:hAnsi="Times New Roman" w:cs="Times New Roman"/>
      <w:color w:val="FF0000"/>
      <w:lang w:val="en-GB"/>
    </w:rPr>
  </w:style>
  <w:style w:type="character" w:customStyle="1" w:styleId="B1Char">
    <w:name w:val="B1 Char"/>
    <w:link w:val="B1"/>
    <w:qFormat/>
    <w:locked/>
    <w:rsid w:val="003C3E1A"/>
    <w:rPr>
      <w:rFonts w:ascii="Times New Roman" w:hAnsi="Times New Roman" w:cs="Times New Roman"/>
    </w:rPr>
  </w:style>
  <w:style w:type="paragraph" w:customStyle="1" w:styleId="B1">
    <w:name w:val="B1"/>
    <w:basedOn w:val="List"/>
    <w:link w:val="B1Char"/>
    <w:qFormat/>
    <w:rsid w:val="003C3E1A"/>
    <w:pPr>
      <w:spacing w:after="180"/>
      <w:ind w:left="568" w:hanging="284"/>
      <w:contextualSpacing w:val="0"/>
    </w:pPr>
    <w:rPr>
      <w:rFonts w:ascii="Times New Roman" w:hAnsi="Times New Roman" w:cs="Times New Roman"/>
      <w:lang w:val="en-GB"/>
    </w:rPr>
  </w:style>
  <w:style w:type="paragraph" w:customStyle="1" w:styleId="TF">
    <w:name w:val="TF"/>
    <w:basedOn w:val="TH"/>
    <w:link w:val="TFChar"/>
    <w:rsid w:val="003C3E1A"/>
    <w:pPr>
      <w:keepNext w:val="0"/>
      <w:spacing w:before="0" w:after="240"/>
    </w:pPr>
  </w:style>
  <w:style w:type="character" w:customStyle="1" w:styleId="TFChar">
    <w:name w:val="TF Char"/>
    <w:link w:val="TF"/>
    <w:qFormat/>
    <w:locked/>
    <w:rsid w:val="003C3E1A"/>
    <w:rPr>
      <w:rFonts w:ascii="Arial" w:hAnsi="Arial" w:cs="Arial"/>
      <w:b/>
    </w:rPr>
  </w:style>
  <w:style w:type="paragraph" w:styleId="List">
    <w:name w:val="List"/>
    <w:basedOn w:val="Normal"/>
    <w:uiPriority w:val="99"/>
    <w:semiHidden/>
    <w:unhideWhenUsed/>
    <w:rsid w:val="003C3E1A"/>
    <w:pPr>
      <w:ind w:left="283" w:hanging="283"/>
      <w:contextualSpacing/>
    </w:pPr>
  </w:style>
  <w:style w:type="paragraph" w:customStyle="1" w:styleId="Observation">
    <w:name w:val="Observation"/>
    <w:basedOn w:val="Normal"/>
    <w:qFormat/>
    <w:rsid w:val="00163513"/>
    <w:pPr>
      <w:numPr>
        <w:numId w:val="13"/>
      </w:numPr>
      <w:tabs>
        <w:tab w:val="left" w:pos="1701"/>
      </w:tabs>
      <w:overflowPunct w:val="0"/>
      <w:autoSpaceDE w:val="0"/>
      <w:autoSpaceDN w:val="0"/>
      <w:adjustRightInd w:val="0"/>
      <w:spacing w:after="120"/>
      <w:jc w:val="both"/>
    </w:pPr>
    <w:rPr>
      <w:rFonts w:ascii="Arial" w:eastAsia="Times New Roman" w:hAnsi="Arial" w:cs="Times New Roman"/>
      <w:b/>
      <w:bCs/>
      <w:sz w:val="20"/>
      <w:szCs w:val="20"/>
      <w:lang w:val="en-GB" w:eastAsia="ja-JP"/>
    </w:rPr>
  </w:style>
  <w:style w:type="character" w:customStyle="1" w:styleId="Heading2Char">
    <w:name w:val="Heading 2 Char"/>
    <w:basedOn w:val="DefaultParagraphFont"/>
    <w:link w:val="Heading2"/>
    <w:uiPriority w:val="9"/>
    <w:semiHidden/>
    <w:rsid w:val="001117EE"/>
    <w:rPr>
      <w:rFonts w:asciiTheme="majorHAnsi" w:eastAsiaTheme="majorEastAsia" w:hAnsiTheme="majorHAnsi" w:cstheme="majorBidi"/>
      <w:color w:val="2F5496" w:themeColor="accent1" w:themeShade="BF"/>
      <w:sz w:val="26"/>
      <w:szCs w:val="26"/>
      <w:lang w:val="fi-FI"/>
    </w:rPr>
  </w:style>
  <w:style w:type="character" w:customStyle="1" w:styleId="normaltextrun">
    <w:name w:val="normaltextrun"/>
    <w:basedOn w:val="DefaultParagraphFont"/>
    <w:rsid w:val="001117EE"/>
  </w:style>
  <w:style w:type="character" w:customStyle="1" w:styleId="eop">
    <w:name w:val="eop"/>
    <w:basedOn w:val="DefaultParagraphFont"/>
    <w:rsid w:val="001117EE"/>
  </w:style>
  <w:style w:type="paragraph" w:styleId="TableofFigures">
    <w:name w:val="table of figures"/>
    <w:basedOn w:val="BodyText"/>
    <w:next w:val="Normal"/>
    <w:uiPriority w:val="99"/>
    <w:rsid w:val="003856F7"/>
    <w:pPr>
      <w:ind w:left="1701" w:hanging="1701"/>
      <w:jc w:val="left"/>
    </w:pPr>
    <w:rPr>
      <w:b/>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 Char,列表段落1 Char,—ño’i—Ž Char,¥¡¡¡¡ì¬º¥¹¥È¶ÎÂä Char,ÁÐ³ö¶ÎÂä Char,¥ê¥¹¥È¶ÎÂä Char"/>
    <w:link w:val="ListParagraph"/>
    <w:uiPriority w:val="34"/>
    <w:qFormat/>
    <w:locked/>
    <w:rsid w:val="004F1702"/>
    <w:rPr>
      <w:rFonts w:ascii="Calibri" w:hAnsi="Calibri" w:cs="Calibri"/>
      <w:lang w:val="fi-FI"/>
    </w:rPr>
  </w:style>
  <w:style w:type="paragraph" w:customStyle="1" w:styleId="B2">
    <w:name w:val="B2"/>
    <w:basedOn w:val="List2"/>
    <w:link w:val="B2Char"/>
    <w:qFormat/>
    <w:rsid w:val="00F01F06"/>
    <w:pPr>
      <w:overflowPunct w:val="0"/>
      <w:autoSpaceDE w:val="0"/>
      <w:autoSpaceDN w:val="0"/>
      <w:adjustRightInd w:val="0"/>
      <w:spacing w:after="180"/>
      <w:ind w:left="851" w:hanging="284"/>
      <w:contextualSpacing w:val="0"/>
      <w:textAlignment w:val="baseline"/>
    </w:pPr>
    <w:rPr>
      <w:rFonts w:ascii="Times New Roman" w:eastAsia="Times New Roman" w:hAnsi="Times New Roman" w:cs="Times New Roman"/>
      <w:sz w:val="20"/>
      <w:szCs w:val="20"/>
      <w:lang w:val="en-GB" w:eastAsia="ja-JP"/>
    </w:rPr>
  </w:style>
  <w:style w:type="paragraph" w:customStyle="1" w:styleId="B3">
    <w:name w:val="B3"/>
    <w:basedOn w:val="List3"/>
    <w:link w:val="B3Char"/>
    <w:qFormat/>
    <w:rsid w:val="00F01F06"/>
    <w:pPr>
      <w:overflowPunct w:val="0"/>
      <w:autoSpaceDE w:val="0"/>
      <w:autoSpaceDN w:val="0"/>
      <w:adjustRightInd w:val="0"/>
      <w:spacing w:after="180"/>
      <w:ind w:left="1135" w:hanging="284"/>
      <w:contextualSpacing w:val="0"/>
      <w:textAlignment w:val="baseline"/>
    </w:pPr>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F01F06"/>
    <w:pPr>
      <w:overflowPunct w:val="0"/>
      <w:autoSpaceDE w:val="0"/>
      <w:autoSpaceDN w:val="0"/>
      <w:adjustRightInd w:val="0"/>
      <w:spacing w:after="180"/>
      <w:ind w:left="141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2Char">
    <w:name w:val="B2 Char"/>
    <w:link w:val="B2"/>
    <w:qFormat/>
    <w:rsid w:val="00F01F06"/>
    <w:rPr>
      <w:rFonts w:ascii="Times New Roman" w:eastAsia="Times New Roman" w:hAnsi="Times New Roman" w:cs="Times New Roman"/>
      <w:sz w:val="20"/>
      <w:szCs w:val="20"/>
      <w:lang w:eastAsia="ja-JP"/>
    </w:rPr>
  </w:style>
  <w:style w:type="character" w:customStyle="1" w:styleId="B3Char">
    <w:name w:val="B3 Char"/>
    <w:link w:val="B3"/>
    <w:qFormat/>
    <w:rsid w:val="00F01F06"/>
    <w:rPr>
      <w:rFonts w:ascii="Times New Roman" w:eastAsia="Times New Roman" w:hAnsi="Times New Roman" w:cs="Times New Roman"/>
      <w:sz w:val="20"/>
      <w:szCs w:val="20"/>
      <w:lang w:eastAsia="ja-JP"/>
    </w:rPr>
  </w:style>
  <w:style w:type="character" w:customStyle="1" w:styleId="B4Char">
    <w:name w:val="B4 Char"/>
    <w:link w:val="B4"/>
    <w:qFormat/>
    <w:rsid w:val="00F01F06"/>
    <w:rPr>
      <w:rFonts w:ascii="Times New Roman" w:eastAsia="Times New Roman" w:hAnsi="Times New Roman" w:cs="Times New Roman"/>
      <w:sz w:val="20"/>
      <w:szCs w:val="20"/>
      <w:lang w:eastAsia="ja-JP"/>
    </w:rPr>
  </w:style>
  <w:style w:type="paragraph" w:styleId="List2">
    <w:name w:val="List 2"/>
    <w:basedOn w:val="Normal"/>
    <w:uiPriority w:val="99"/>
    <w:semiHidden/>
    <w:unhideWhenUsed/>
    <w:rsid w:val="00F01F06"/>
    <w:pPr>
      <w:ind w:left="566" w:hanging="283"/>
      <w:contextualSpacing/>
    </w:pPr>
  </w:style>
  <w:style w:type="paragraph" w:styleId="List3">
    <w:name w:val="List 3"/>
    <w:basedOn w:val="Normal"/>
    <w:uiPriority w:val="99"/>
    <w:semiHidden/>
    <w:unhideWhenUsed/>
    <w:rsid w:val="00F01F06"/>
    <w:pPr>
      <w:ind w:left="849" w:hanging="283"/>
      <w:contextualSpacing/>
    </w:pPr>
  </w:style>
  <w:style w:type="paragraph" w:styleId="List4">
    <w:name w:val="List 4"/>
    <w:basedOn w:val="Normal"/>
    <w:uiPriority w:val="99"/>
    <w:semiHidden/>
    <w:unhideWhenUsed/>
    <w:rsid w:val="00F01F06"/>
    <w:pPr>
      <w:ind w:left="1132" w:hanging="283"/>
      <w:contextualSpacing/>
    </w:pPr>
  </w:style>
  <w:style w:type="character" w:styleId="CommentReference">
    <w:name w:val="annotation reference"/>
    <w:basedOn w:val="DefaultParagraphFont"/>
    <w:uiPriority w:val="99"/>
    <w:semiHidden/>
    <w:unhideWhenUsed/>
    <w:rsid w:val="00DA6239"/>
    <w:rPr>
      <w:sz w:val="16"/>
      <w:szCs w:val="16"/>
    </w:rPr>
  </w:style>
  <w:style w:type="paragraph" w:styleId="CommentText">
    <w:name w:val="annotation text"/>
    <w:basedOn w:val="Normal"/>
    <w:link w:val="CommentTextChar"/>
    <w:uiPriority w:val="99"/>
    <w:unhideWhenUsed/>
    <w:rsid w:val="00DA6239"/>
    <w:rPr>
      <w:sz w:val="20"/>
      <w:szCs w:val="20"/>
    </w:rPr>
  </w:style>
  <w:style w:type="character" w:customStyle="1" w:styleId="CommentTextChar">
    <w:name w:val="Comment Text Char"/>
    <w:basedOn w:val="DefaultParagraphFont"/>
    <w:link w:val="CommentText"/>
    <w:uiPriority w:val="99"/>
    <w:rsid w:val="00DA6239"/>
    <w:rPr>
      <w:rFonts w:ascii="Calibri" w:hAnsi="Calibri" w:cs="Calibri"/>
      <w:sz w:val="20"/>
      <w:szCs w:val="20"/>
      <w:lang w:val="fi-FI"/>
    </w:rPr>
  </w:style>
  <w:style w:type="paragraph" w:styleId="CommentSubject">
    <w:name w:val="annotation subject"/>
    <w:basedOn w:val="CommentText"/>
    <w:next w:val="CommentText"/>
    <w:link w:val="CommentSubjectChar"/>
    <w:uiPriority w:val="99"/>
    <w:semiHidden/>
    <w:unhideWhenUsed/>
    <w:rsid w:val="00DA6239"/>
    <w:rPr>
      <w:b/>
      <w:bCs/>
    </w:rPr>
  </w:style>
  <w:style w:type="character" w:customStyle="1" w:styleId="CommentSubjectChar">
    <w:name w:val="Comment Subject Char"/>
    <w:basedOn w:val="CommentTextChar"/>
    <w:link w:val="CommentSubject"/>
    <w:uiPriority w:val="99"/>
    <w:semiHidden/>
    <w:rsid w:val="00DA6239"/>
    <w:rPr>
      <w:rFonts w:ascii="Calibri" w:hAnsi="Calibri" w:cs="Calibri"/>
      <w:b/>
      <w:bCs/>
      <w:sz w:val="20"/>
      <w:szCs w:val="20"/>
      <w:lang w:val="fi-FI"/>
    </w:rPr>
  </w:style>
  <w:style w:type="character" w:styleId="Mention">
    <w:name w:val="Mention"/>
    <w:basedOn w:val="DefaultParagraphFont"/>
    <w:uiPriority w:val="99"/>
    <w:unhideWhenUsed/>
    <w:rsid w:val="00BF13FA"/>
    <w:rPr>
      <w:color w:val="2B579A"/>
      <w:shd w:val="clear" w:color="auto" w:fill="E1DFDD"/>
    </w:rPr>
  </w:style>
  <w:style w:type="character" w:styleId="FollowedHyperlink">
    <w:name w:val="FollowedHyperlink"/>
    <w:basedOn w:val="DefaultParagraphFont"/>
    <w:uiPriority w:val="99"/>
    <w:semiHidden/>
    <w:unhideWhenUsed/>
    <w:rsid w:val="00F1185F"/>
    <w:rPr>
      <w:color w:val="954F72" w:themeColor="followedHyperlink"/>
      <w:u w:val="single"/>
    </w:rPr>
  </w:style>
  <w:style w:type="character" w:customStyle="1" w:styleId="Heading7Char">
    <w:name w:val="Heading 7 Char"/>
    <w:basedOn w:val="DefaultParagraphFont"/>
    <w:link w:val="Heading7"/>
    <w:uiPriority w:val="9"/>
    <w:semiHidden/>
    <w:rsid w:val="00AE5835"/>
    <w:rPr>
      <w:rFonts w:asciiTheme="majorHAnsi" w:eastAsiaTheme="majorEastAsia" w:hAnsiTheme="majorHAnsi" w:cstheme="majorBidi"/>
      <w:i/>
      <w:iCs/>
      <w:color w:val="1F3763" w:themeColor="accent1" w:themeShade="7F"/>
      <w:lang w:val="fi-FI"/>
    </w:rPr>
  </w:style>
  <w:style w:type="paragraph" w:styleId="Header">
    <w:name w:val="header"/>
    <w:basedOn w:val="Normal"/>
    <w:link w:val="HeaderChar"/>
    <w:semiHidden/>
    <w:rsid w:val="00AE5835"/>
    <w:pPr>
      <w:tabs>
        <w:tab w:val="center" w:pos="4153"/>
        <w:tab w:val="right" w:pos="8306"/>
      </w:tabs>
    </w:pPr>
    <w:rPr>
      <w:rFonts w:ascii="Times New Roman" w:eastAsia="Batang" w:hAnsi="Times New Roman" w:cs="Times New Roman"/>
      <w:sz w:val="20"/>
      <w:szCs w:val="20"/>
      <w:lang w:val="en-GB"/>
    </w:rPr>
  </w:style>
  <w:style w:type="character" w:customStyle="1" w:styleId="HeaderChar">
    <w:name w:val="Header Char"/>
    <w:basedOn w:val="DefaultParagraphFont"/>
    <w:link w:val="Header"/>
    <w:semiHidden/>
    <w:rsid w:val="00AE5835"/>
    <w:rPr>
      <w:rFonts w:ascii="Times New Roman" w:eastAsia="Batang" w:hAnsi="Times New Roman" w:cs="Times New Roman"/>
      <w:sz w:val="20"/>
      <w:szCs w:val="20"/>
    </w:rPr>
  </w:style>
  <w:style w:type="paragraph" w:customStyle="1" w:styleId="CRCoverPage">
    <w:name w:val="CR Cover Page"/>
    <w:rsid w:val="00AE5835"/>
    <w:pPr>
      <w:spacing w:after="120" w:line="240" w:lineRule="auto"/>
    </w:pPr>
    <w:rPr>
      <w:rFonts w:ascii="Arial" w:eastAsia="Times New Roman" w:hAnsi="Arial" w:cs="Times New Roman"/>
      <w:sz w:val="20"/>
      <w:szCs w:val="20"/>
    </w:rPr>
  </w:style>
  <w:style w:type="paragraph" w:styleId="Footer">
    <w:name w:val="footer"/>
    <w:basedOn w:val="Normal"/>
    <w:link w:val="FooterChar"/>
    <w:uiPriority w:val="99"/>
    <w:unhideWhenUsed/>
    <w:rsid w:val="002F3E3F"/>
    <w:pPr>
      <w:tabs>
        <w:tab w:val="center" w:pos="4513"/>
        <w:tab w:val="right" w:pos="9026"/>
      </w:tabs>
    </w:pPr>
  </w:style>
  <w:style w:type="character" w:customStyle="1" w:styleId="FooterChar">
    <w:name w:val="Footer Char"/>
    <w:basedOn w:val="DefaultParagraphFont"/>
    <w:link w:val="Footer"/>
    <w:uiPriority w:val="99"/>
    <w:rsid w:val="002F3E3F"/>
    <w:rPr>
      <w:rFonts w:ascii="Calibri" w:hAnsi="Calibri" w:cs="Calibri"/>
      <w:lang w:val="fi-FI"/>
    </w:rPr>
  </w:style>
  <w:style w:type="paragraph" w:styleId="Revision">
    <w:name w:val="Revision"/>
    <w:hidden/>
    <w:uiPriority w:val="99"/>
    <w:semiHidden/>
    <w:rsid w:val="00B71368"/>
    <w:pPr>
      <w:spacing w:after="0" w:line="240" w:lineRule="auto"/>
    </w:pPr>
    <w:rPr>
      <w:rFonts w:ascii="Calibri" w:hAnsi="Calibri" w:cs="Calibri"/>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815743">
      <w:bodyDiv w:val="1"/>
      <w:marLeft w:val="0"/>
      <w:marRight w:val="0"/>
      <w:marTop w:val="0"/>
      <w:marBottom w:val="0"/>
      <w:divBdr>
        <w:top w:val="none" w:sz="0" w:space="0" w:color="auto"/>
        <w:left w:val="none" w:sz="0" w:space="0" w:color="auto"/>
        <w:bottom w:val="none" w:sz="0" w:space="0" w:color="auto"/>
        <w:right w:val="none" w:sz="0" w:space="0" w:color="auto"/>
      </w:divBdr>
    </w:div>
    <w:div w:id="451674324">
      <w:bodyDiv w:val="1"/>
      <w:marLeft w:val="0"/>
      <w:marRight w:val="0"/>
      <w:marTop w:val="0"/>
      <w:marBottom w:val="0"/>
      <w:divBdr>
        <w:top w:val="none" w:sz="0" w:space="0" w:color="auto"/>
        <w:left w:val="none" w:sz="0" w:space="0" w:color="auto"/>
        <w:bottom w:val="none" w:sz="0" w:space="0" w:color="auto"/>
        <w:right w:val="none" w:sz="0" w:space="0" w:color="auto"/>
      </w:divBdr>
    </w:div>
    <w:div w:id="752242623">
      <w:bodyDiv w:val="1"/>
      <w:marLeft w:val="0"/>
      <w:marRight w:val="0"/>
      <w:marTop w:val="0"/>
      <w:marBottom w:val="0"/>
      <w:divBdr>
        <w:top w:val="none" w:sz="0" w:space="0" w:color="auto"/>
        <w:left w:val="none" w:sz="0" w:space="0" w:color="auto"/>
        <w:bottom w:val="none" w:sz="0" w:space="0" w:color="auto"/>
        <w:right w:val="none" w:sz="0" w:space="0" w:color="auto"/>
      </w:divBdr>
    </w:div>
    <w:div w:id="1006249259">
      <w:bodyDiv w:val="1"/>
      <w:marLeft w:val="0"/>
      <w:marRight w:val="0"/>
      <w:marTop w:val="0"/>
      <w:marBottom w:val="0"/>
      <w:divBdr>
        <w:top w:val="none" w:sz="0" w:space="0" w:color="auto"/>
        <w:left w:val="none" w:sz="0" w:space="0" w:color="auto"/>
        <w:bottom w:val="none" w:sz="0" w:space="0" w:color="auto"/>
        <w:right w:val="none" w:sz="0" w:space="0" w:color="auto"/>
      </w:divBdr>
    </w:div>
    <w:div w:id="1122654656">
      <w:bodyDiv w:val="1"/>
      <w:marLeft w:val="0"/>
      <w:marRight w:val="0"/>
      <w:marTop w:val="0"/>
      <w:marBottom w:val="0"/>
      <w:divBdr>
        <w:top w:val="none" w:sz="0" w:space="0" w:color="auto"/>
        <w:left w:val="none" w:sz="0" w:space="0" w:color="auto"/>
        <w:bottom w:val="none" w:sz="0" w:space="0" w:color="auto"/>
        <w:right w:val="none" w:sz="0" w:space="0" w:color="auto"/>
      </w:divBdr>
    </w:div>
    <w:div w:id="1127435183">
      <w:bodyDiv w:val="1"/>
      <w:marLeft w:val="0"/>
      <w:marRight w:val="0"/>
      <w:marTop w:val="0"/>
      <w:marBottom w:val="0"/>
      <w:divBdr>
        <w:top w:val="none" w:sz="0" w:space="0" w:color="auto"/>
        <w:left w:val="none" w:sz="0" w:space="0" w:color="auto"/>
        <w:bottom w:val="none" w:sz="0" w:space="0" w:color="auto"/>
        <w:right w:val="none" w:sz="0" w:space="0" w:color="auto"/>
      </w:divBdr>
    </w:div>
    <w:div w:id="1336033941">
      <w:bodyDiv w:val="1"/>
      <w:marLeft w:val="0"/>
      <w:marRight w:val="0"/>
      <w:marTop w:val="0"/>
      <w:marBottom w:val="0"/>
      <w:divBdr>
        <w:top w:val="none" w:sz="0" w:space="0" w:color="auto"/>
        <w:left w:val="none" w:sz="0" w:space="0" w:color="auto"/>
        <w:bottom w:val="none" w:sz="0" w:space="0" w:color="auto"/>
        <w:right w:val="none" w:sz="0" w:space="0" w:color="auto"/>
      </w:divBdr>
    </w:div>
    <w:div w:id="1517159993">
      <w:bodyDiv w:val="1"/>
      <w:marLeft w:val="0"/>
      <w:marRight w:val="0"/>
      <w:marTop w:val="0"/>
      <w:marBottom w:val="0"/>
      <w:divBdr>
        <w:top w:val="none" w:sz="0" w:space="0" w:color="auto"/>
        <w:left w:val="none" w:sz="0" w:space="0" w:color="auto"/>
        <w:bottom w:val="none" w:sz="0" w:space="0" w:color="auto"/>
        <w:right w:val="none" w:sz="0" w:space="0" w:color="auto"/>
      </w:divBdr>
    </w:div>
    <w:div w:id="1546792271">
      <w:bodyDiv w:val="1"/>
      <w:marLeft w:val="0"/>
      <w:marRight w:val="0"/>
      <w:marTop w:val="0"/>
      <w:marBottom w:val="0"/>
      <w:divBdr>
        <w:top w:val="none" w:sz="0" w:space="0" w:color="auto"/>
        <w:left w:val="none" w:sz="0" w:space="0" w:color="auto"/>
        <w:bottom w:val="none" w:sz="0" w:space="0" w:color="auto"/>
        <w:right w:val="none" w:sz="0" w:space="0" w:color="auto"/>
      </w:divBdr>
    </w:div>
    <w:div w:id="1678071593">
      <w:bodyDiv w:val="1"/>
      <w:marLeft w:val="0"/>
      <w:marRight w:val="0"/>
      <w:marTop w:val="0"/>
      <w:marBottom w:val="0"/>
      <w:divBdr>
        <w:top w:val="none" w:sz="0" w:space="0" w:color="auto"/>
        <w:left w:val="none" w:sz="0" w:space="0" w:color="auto"/>
        <w:bottom w:val="none" w:sz="0" w:space="0" w:color="auto"/>
        <w:right w:val="none" w:sz="0" w:space="0" w:color="auto"/>
      </w:divBdr>
    </w:div>
    <w:div w:id="1885093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98e/Docs/RP-223544.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8e/Docs/RP-223544.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9493FD7-E329-40D4-ABCB-5EF89863748C}">
  <ds:schemaRefs>
    <ds:schemaRef ds:uri="http://schemas.microsoft.com/sharepoint/v3/contenttype/forms"/>
  </ds:schemaRefs>
</ds:datastoreItem>
</file>

<file path=customXml/itemProps2.xml><?xml version="1.0" encoding="utf-8"?>
<ds:datastoreItem xmlns:ds="http://schemas.openxmlformats.org/officeDocument/2006/customXml" ds:itemID="{7459CF8C-4A2A-4896-8D06-BE378F193EA5}">
  <ds:schemaRefs>
    <ds:schemaRef ds:uri="http://schemas.openxmlformats.org/officeDocument/2006/bibliography"/>
  </ds:schemaRefs>
</ds:datastoreItem>
</file>

<file path=customXml/itemProps3.xml><?xml version="1.0" encoding="utf-8"?>
<ds:datastoreItem xmlns:ds="http://schemas.openxmlformats.org/officeDocument/2006/customXml" ds:itemID="{85BE8F52-2ACA-4BED-B586-E52E5AB10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AF7828-FB49-43B5-98FE-4EF94E9A8D0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5</Pages>
  <Words>1711</Words>
  <Characters>9754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Hamza Khan</dc:creator>
  <cp:keywords/>
  <dc:description/>
  <cp:lastModifiedBy>Ericsson</cp:lastModifiedBy>
  <cp:revision>110</cp:revision>
  <dcterms:created xsi:type="dcterms:W3CDTF">2023-07-16T15:56:00Z</dcterms:created>
  <dcterms:modified xsi:type="dcterms:W3CDTF">2023-08-11T05:20:00Z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